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648C66">
      <w:pPr>
        <w:spacing w:line="540" w:lineRule="exact"/>
        <w:jc w:val="center"/>
        <w:rPr>
          <w:rFonts w:ascii="Times New Roman" w:hAnsi="Times New Roman" w:eastAsia="方正小标宋_GBK"/>
          <w:sz w:val="44"/>
          <w:szCs w:val="44"/>
          <w:highlight w:val="none"/>
        </w:rPr>
      </w:pPr>
      <w:r>
        <w:rPr>
          <w:rFonts w:hint="eastAsia" w:ascii="Times New Roman" w:hAnsi="Times New Roman" w:eastAsia="方正小标宋_GBK" w:cs="方正小标宋_GBK"/>
          <w:sz w:val="44"/>
          <w:szCs w:val="44"/>
          <w:highlight w:val="none"/>
        </w:rPr>
        <w:t>关于惠阳水厂二期及管网配套工程等3个项目自查自纠专项核查服务的采购询价公告</w:t>
      </w:r>
    </w:p>
    <w:p w14:paraId="086ADFF4">
      <w:pPr>
        <w:spacing w:line="520" w:lineRule="exact"/>
        <w:ind w:firstLine="645"/>
        <w:outlineLvl w:val="0"/>
        <w:rPr>
          <w:rFonts w:ascii="Times New Roman" w:hAnsi="Times New Roman" w:eastAsia="仿宋_GB2312"/>
          <w:sz w:val="32"/>
          <w:szCs w:val="32"/>
          <w:highlight w:val="none"/>
        </w:rPr>
      </w:pPr>
    </w:p>
    <w:p w14:paraId="071E3E47">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根据我单位工作需要，现拟对“惠阳水厂二期及管网配套工程等3个项目自查自纠专项核查服务”进行采购询价，欢迎符合条件且具备相应能力的单位参与报价。</w:t>
      </w:r>
    </w:p>
    <w:p w14:paraId="2E47EAD5">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一、项目概况</w:t>
      </w:r>
    </w:p>
    <w:p w14:paraId="1808BA55">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w:t>
      </w:r>
      <w:r>
        <w:rPr>
          <w:rFonts w:hint="eastAsia" w:ascii="Times New Roman" w:hAnsi="Times New Roman" w:eastAsia="仿宋_GB2312" w:cs="仿宋_GB2312"/>
          <w:bCs/>
          <w:kern w:val="0"/>
          <w:sz w:val="32"/>
          <w:szCs w:val="32"/>
          <w:highlight w:val="none"/>
        </w:rPr>
        <w:t>采购人：惠州市水务集团有限公司</w:t>
      </w:r>
    </w:p>
    <w:p w14:paraId="21E11743">
      <w:pPr>
        <w:spacing w:line="560" w:lineRule="exact"/>
        <w:ind w:firstLine="640" w:firstLineChars="200"/>
        <w:jc w:val="lef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（二）项目名称：惠阳水厂二期及管网配套工程等3个项目自查自纠专项核查服务。</w:t>
      </w:r>
    </w:p>
    <w:p w14:paraId="53462AA6">
      <w:pPr>
        <w:spacing w:line="560" w:lineRule="exact"/>
        <w:ind w:firstLine="640" w:firstLineChars="200"/>
        <w:outlineLvl w:val="0"/>
        <w:rPr>
          <w:rFonts w:ascii="Times New Roman" w:hAnsi="Times New Roman" w:eastAsia="仿宋_GB2312" w:cs="仿宋_GB2312"/>
          <w:bCs/>
          <w:kern w:val="0"/>
          <w:sz w:val="32"/>
          <w:szCs w:val="32"/>
          <w:highlight w:val="none"/>
        </w:rPr>
      </w:pPr>
      <w:r>
        <w:rPr>
          <w:rFonts w:hint="eastAsia" w:ascii="Times New Roman" w:hAnsi="Times New Roman" w:eastAsia="仿宋_GB2312"/>
          <w:sz w:val="32"/>
          <w:szCs w:val="32"/>
          <w:highlight w:val="none"/>
        </w:rPr>
        <w:t>（三）</w:t>
      </w:r>
      <w:r>
        <w:rPr>
          <w:rFonts w:hint="eastAsia" w:ascii="Times New Roman" w:hAnsi="Times New Roman" w:eastAsia="仿宋_GB2312" w:cs="仿宋_GB2312"/>
          <w:bCs/>
          <w:kern w:val="0"/>
          <w:sz w:val="32"/>
          <w:szCs w:val="32"/>
          <w:highlight w:val="none"/>
        </w:rPr>
        <w:t>采购资金来源</w:t>
      </w:r>
      <w:r>
        <w:rPr>
          <w:rFonts w:hint="eastAsia" w:ascii="Times New Roman" w:hAnsi="Times New Roman" w:eastAsia="仿宋_GB2312"/>
          <w:sz w:val="32"/>
          <w:szCs w:val="32"/>
          <w:highlight w:val="none"/>
        </w:rPr>
        <w:t>：</w:t>
      </w:r>
      <w:r>
        <w:rPr>
          <w:rFonts w:hint="eastAsia" w:ascii="Times New Roman" w:hAnsi="Times New Roman" w:eastAsia="仿宋_GB2312" w:cs="仿宋_GB2312"/>
          <w:bCs/>
          <w:kern w:val="0"/>
          <w:sz w:val="32"/>
          <w:szCs w:val="32"/>
          <w:highlight w:val="none"/>
        </w:rPr>
        <w:t>企业自筹</w:t>
      </w:r>
    </w:p>
    <w:p w14:paraId="45DEFCD1">
      <w:pPr>
        <w:spacing w:line="560" w:lineRule="exact"/>
        <w:ind w:firstLine="640" w:firstLineChars="200"/>
        <w:outlineLvl w:val="0"/>
        <w:rPr>
          <w:rFonts w:ascii="Times New Roman" w:hAnsi="Times New Roman" w:eastAsia="黑体" w:cs="黑体"/>
          <w:sz w:val="32"/>
          <w:szCs w:val="32"/>
          <w:highlight w:val="none"/>
        </w:rPr>
      </w:pPr>
      <w:r>
        <w:rPr>
          <w:rFonts w:hint="eastAsia" w:ascii="Times New Roman" w:hAnsi="Times New Roman" w:eastAsia="黑体" w:cs="黑体"/>
          <w:sz w:val="32"/>
          <w:szCs w:val="32"/>
          <w:highlight w:val="none"/>
        </w:rPr>
        <w:t>二、服务内容及期限</w:t>
      </w:r>
    </w:p>
    <w:p w14:paraId="1695C7F4">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服务内容：依据国家及地方相关法律法规、规范标准，对以下项目造价（含工程预算、结算）自查自纠情况开展专项核查，并提供盖章版报告、问题清单（包括但不限于问题、依据、核减金额等）及相关佐证材料：</w:t>
      </w:r>
    </w:p>
    <w:p w14:paraId="0B248FF2">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1.惠阳水厂二期及管网配套工程</w:t>
      </w:r>
    </w:p>
    <w:p w14:paraId="14B2E227">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2.惠州市供水调度中心工程</w:t>
      </w:r>
    </w:p>
    <w:p w14:paraId="2D9A9E3A">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3.金山新城明德路、体育南路等5条配套市政道路工程</w:t>
      </w:r>
    </w:p>
    <w:p w14:paraId="1FB4E96B">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（二）工期要求：须于2025年9月23日前提交核查报告初稿，并于2025年9月30日前提交经委托方确认的加盖单位公章的核查报告定稿、具体问题清单（包括但不限于问题、依据、核减金额等）及相关佐证材料。</w:t>
      </w:r>
    </w:p>
    <w:p w14:paraId="7A6B793F">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验收标准：供应商按期提交盖章版核查报告、问题清单及有关佐证材料，委托方依据国家及地方相关法律法规、行业有关规范、规程、标准和采购文件、响应文件及合同约定对供应商履约情况进行验收，交付成果须经委托方确认。</w:t>
      </w:r>
    </w:p>
    <w:p w14:paraId="08175BC1">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三、服务报价及支付方式</w:t>
      </w:r>
    </w:p>
    <w:p w14:paraId="22C97AE5">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本项目服务费采用“固定报价与核减激励”相结合的方式，报价均以下浮率形式体现，供应商需按照固定报价、激励费用报统一下浮比例（下浮率），即所报固定报价下浮率须等于激励费用下浮率，否则作无效报价处理。固定报价、核减激励报出的统一下浮率不得为负数。</w:t>
      </w:r>
    </w:p>
    <w:p w14:paraId="0C7A36C3">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 固定报酬实际金额=固定报酬最高限价×(1-固定报酬下浮率)。固定报价最高限价为人民币贰拾万元整（¥:200,000.00）。</w:t>
      </w:r>
    </w:p>
    <w:p w14:paraId="25C273FF">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 核减激励费用=(委托方确认的核减额)×[</w:t>
      </w:r>
      <w:r>
        <w:rPr>
          <w:rFonts w:hint="eastAsia" w:ascii="Times New Roman" w:hAnsi="Times New Roman" w:eastAsia="仿宋_GB2312"/>
          <w:sz w:val="32"/>
          <w:szCs w:val="32"/>
          <w:highlight w:val="none"/>
          <w:lang w:eastAsia="zh-CN"/>
        </w:rPr>
        <w:t>1%</w:t>
      </w:r>
      <w:bookmarkStart w:id="0" w:name="_GoBack"/>
      <w:bookmarkEnd w:id="0"/>
      <w:r>
        <w:rPr>
          <w:rFonts w:hint="eastAsia" w:ascii="Times New Roman" w:hAnsi="Times New Roman" w:eastAsia="仿宋_GB2312"/>
          <w:sz w:val="32"/>
          <w:szCs w:val="32"/>
          <w:highlight w:val="none"/>
        </w:rPr>
        <w:t>×(1-核减激励下浮率)]。核减激励费用最高不超过人民币叁拾万元整（¥:300,000.00）。</w:t>
      </w:r>
    </w:p>
    <w:p w14:paraId="0EDF2031">
      <w:pPr>
        <w:pStyle w:val="2"/>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3.</w:t>
      </w:r>
      <w:r>
        <w:rPr>
          <w:rFonts w:ascii="Times New Roman" w:hAnsi="Times New Roman" w:eastAsia="仿宋_GB2312"/>
          <w:sz w:val="32"/>
          <w:szCs w:val="32"/>
          <w:highlight w:val="none"/>
        </w:rPr>
        <w:t xml:space="preserve"> 最终总服务费=固定报酬实际金额+核减激励费用，总额不超过人民币伍拾万元整（¥:500,000.00）。</w:t>
      </w:r>
    </w:p>
    <w:p w14:paraId="320E1D43">
      <w:pPr>
        <w:pStyle w:val="2"/>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（三）供应商</w:t>
      </w:r>
      <w:r>
        <w:rPr>
          <w:rFonts w:ascii="Times New Roman" w:hAnsi="Times New Roman" w:eastAsia="仿宋_GB2312"/>
          <w:sz w:val="32"/>
          <w:szCs w:val="32"/>
          <w:highlight w:val="none"/>
        </w:rPr>
        <w:t>的报价须包含服务成本、法定税费、派驻人员差旅费等完成本</w:t>
      </w:r>
      <w:r>
        <w:rPr>
          <w:rFonts w:hint="eastAsia" w:ascii="Times New Roman" w:hAnsi="Times New Roman" w:eastAsia="仿宋_GB2312"/>
          <w:bCs/>
          <w:sz w:val="32"/>
          <w:szCs w:val="32"/>
          <w:highlight w:val="none"/>
        </w:rPr>
        <w:t>项目</w:t>
      </w:r>
      <w:r>
        <w:rPr>
          <w:rFonts w:ascii="Times New Roman" w:hAnsi="Times New Roman" w:eastAsia="仿宋_GB2312"/>
          <w:sz w:val="32"/>
          <w:szCs w:val="32"/>
          <w:highlight w:val="none"/>
        </w:rPr>
        <w:t>核查工作所需的一切费用，委托方不再另外支付其它费用。</w:t>
      </w:r>
    </w:p>
    <w:p w14:paraId="6285520E">
      <w:pPr>
        <w:pStyle w:val="2"/>
        <w:spacing w:line="560"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四</w:t>
      </w:r>
      <w:r>
        <w:rPr>
          <w:rFonts w:ascii="Times New Roman" w:hAnsi="Times New Roman" w:eastAsia="仿宋_GB2312"/>
          <w:sz w:val="32"/>
          <w:szCs w:val="32"/>
          <w:highlight w:val="none"/>
        </w:rPr>
        <w:t>）供应商不得以低于成本的报价参与竞争，评审小组认为供应商的报价明显低于其他符合条件单位的报价，且认为有可能影响服务质量或者导致不能诚信履约的，供应商不能合理说明或不能提供相关证明材料的，将视为无效报价。</w:t>
      </w:r>
    </w:p>
    <w:p w14:paraId="2FA9BE33">
      <w:pPr>
        <w:pStyle w:val="2"/>
        <w:spacing w:line="560"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五</w:t>
      </w:r>
      <w:r>
        <w:rPr>
          <w:rFonts w:ascii="Times New Roman" w:hAnsi="Times New Roman" w:eastAsia="仿宋_GB2312"/>
          <w:sz w:val="32"/>
          <w:szCs w:val="32"/>
          <w:highlight w:val="none"/>
        </w:rPr>
        <w:t>）服务期满，供应商按合同约定保质保量地履行了全部合同义务且交付的成果经委托方验收合格后，采购方收到供应商开具的真实合法有效的增值税专用发票，在15个工作日内支付服务费用总价款。</w:t>
      </w:r>
    </w:p>
    <w:p w14:paraId="1DF27F93">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四、供应商资格要求</w:t>
      </w:r>
    </w:p>
    <w:p w14:paraId="7B14E418">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（一）供应商须为在中华人民共和国境内依法注册、具有独立承担民事责任能力的组织。</w:t>
      </w:r>
    </w:p>
    <w:p w14:paraId="6B7F67AC">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（二）供应商在“信用中国”网站（www.creditchina.gov.cn）未被列入“</w:t>
      </w:r>
      <w:r>
        <w:rPr>
          <w:rFonts w:hint="eastAsia" w:ascii="Times New Roman" w:hAnsi="Times New Roman" w:eastAsia="仿宋_GB2312" w:cs="仿宋_GB2312"/>
          <w:bCs/>
          <w:kern w:val="0"/>
          <w:sz w:val="32"/>
          <w:szCs w:val="32"/>
          <w:highlight w:val="none"/>
        </w:rPr>
        <w:t>失信行为记录名单、重大税收违法失信主体名单</w:t>
      </w:r>
      <w:r>
        <w:rPr>
          <w:rFonts w:hint="eastAsia" w:ascii="Times New Roman" w:hAnsi="Times New Roman" w:eastAsia="仿宋_GB2312"/>
          <w:sz w:val="32"/>
          <w:szCs w:val="32"/>
          <w:highlight w:val="none"/>
        </w:rPr>
        <w:t>”。</w:t>
      </w:r>
    </w:p>
    <w:p w14:paraId="11B9348A">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供应商需配备具有相应专业能力且满足本项目需求的专业技术团队，具备相关专业知识和工作经验，其中拟派的项目负责人须具备一级注册造价工程师（或原注册造价工程师）执业资格以及高级工程师技术职称。</w:t>
      </w:r>
    </w:p>
    <w:p w14:paraId="092139C6">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（四）供应商未参与过以上项目的造价（含估算、概算、预算、结算）编制、审核、复审工作或其他应回避的情形。</w:t>
      </w:r>
    </w:p>
    <w:p w14:paraId="5AB217C7">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（五）供应商参与委托方既往采购项目出现违法违规行为的，或被委托方列入不良记录名单的，禁止参加本项目采购活动。</w:t>
      </w:r>
    </w:p>
    <w:p w14:paraId="7D4705A1">
      <w:pPr>
        <w:pStyle w:val="2"/>
        <w:spacing w:line="560" w:lineRule="exact"/>
        <w:ind w:firstLine="640" w:firstLineChars="200"/>
        <w:rPr>
          <w:rFonts w:ascii="Times New Roman" w:hAnsi="Times New Roman" w:eastAsia="黑体" w:cs="黑体"/>
          <w:sz w:val="32"/>
          <w:szCs w:val="32"/>
          <w:highlight w:val="none"/>
        </w:rPr>
      </w:pPr>
      <w:r>
        <w:rPr>
          <w:rFonts w:hint="eastAsia" w:ascii="Times New Roman" w:hAnsi="Times New Roman" w:eastAsia="黑体" w:cs="黑体"/>
          <w:sz w:val="32"/>
          <w:szCs w:val="32"/>
          <w:highlight w:val="none"/>
        </w:rPr>
        <w:t>五、服务要求</w:t>
      </w:r>
    </w:p>
    <w:p w14:paraId="28AFF79D">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（一）服务质量要求：供应商应保证核查工作的独立性、客观性和准确性。供应商应根据需要安排专业人员赴项目现场进行实地勘查核实。委托方有权对供应商的工作质量和工作进度进行监督。</w:t>
      </w:r>
    </w:p>
    <w:p w14:paraId="01BAFAE9">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（二）业绩要求：供应商需提供2022年1月1日以来单项合同审核项目建安造价大于1亿元的合同3份或以上（须提供合同关键页或中标通知书等证明文件复印件并加盖单位公章）。</w:t>
      </w:r>
    </w:p>
    <w:p w14:paraId="786BCFDB">
      <w:pPr>
        <w:pStyle w:val="2"/>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cs="仿宋_GB2312"/>
          <w:sz w:val="32"/>
          <w:szCs w:val="32"/>
          <w:highlight w:val="none"/>
        </w:rPr>
        <w:t>（三）人员要求：</w:t>
      </w:r>
      <w:r>
        <w:rPr>
          <w:rFonts w:hint="eastAsia" w:ascii="Times New Roman" w:hAnsi="Times New Roman" w:eastAsia="仿宋_GB2312"/>
          <w:sz w:val="32"/>
          <w:szCs w:val="32"/>
          <w:highlight w:val="none"/>
        </w:rPr>
        <w:t>需配备具有相应专业能力且满足本项目需求的不少于4人的专业核查团队进行全程驻点核查，该4名人员不得重复。</w:t>
      </w:r>
    </w:p>
    <w:p w14:paraId="5B1204C2">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1.拟派团队中的项目负责人应具备一级注册造价工程师（或原注册造价工程师）执业资格（土木建筑工程专业、安装工程专业）以及高级工程师技术职称，一级造价工程师资格证书获取时间在2016年1月1日之前。</w:t>
      </w:r>
    </w:p>
    <w:p w14:paraId="5D4D7E96">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2.拟派团队的其他3名专业人员应具备工程师或以上职称，鼓励派驻一级注册造价工程师（原注册造价工程师）。</w:t>
      </w:r>
    </w:p>
    <w:p w14:paraId="00FE20DB">
      <w:pPr>
        <w:pStyle w:val="2"/>
        <w:spacing w:line="560" w:lineRule="exact"/>
        <w:ind w:firstLine="640" w:firstLineChars="200"/>
        <w:jc w:val="both"/>
        <w:rPr>
          <w:rFonts w:ascii="Times New Roman" w:hAnsi="Times New Roman"/>
          <w:highlight w:val="none"/>
        </w:rPr>
      </w:pPr>
      <w:r>
        <w:rPr>
          <w:rFonts w:hint="eastAsia" w:ascii="Times New Roman" w:hAnsi="Times New Roman" w:eastAsia="仿宋_GB2312"/>
          <w:sz w:val="32"/>
          <w:szCs w:val="32"/>
          <w:highlight w:val="none"/>
        </w:rPr>
        <w:t>3.服务期内，供应商必须确保上述要求的不少于4人的专业核查团队驻点工作至提交的盖章版核查报告、问题清单（包括但不限于问题、依据、核减金额等）及有关佐证材料，不得随意更换。确需更换的，须提前10日书面征得委托方同意，且更换后人员的资质和经验不得低于原人员。</w:t>
      </w:r>
    </w:p>
    <w:p w14:paraId="303F154D">
      <w:pPr>
        <w:pStyle w:val="2"/>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（四）驻点工作要求：</w:t>
      </w:r>
    </w:p>
    <w:p w14:paraId="7F20F719">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1.项目负责人须根据核查工作需要，亲自到相关项目现场进行实地核查，确保核查工作的真实性和准确性。</w:t>
      </w:r>
    </w:p>
    <w:p w14:paraId="2EB47467">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2.每3个工作日项目负责人须至少进行一次当面汇报，汇报内容应包括阶段性发现问题、问题清单及相关佐证材料。</w:t>
      </w:r>
    </w:p>
    <w:p w14:paraId="5BE26E74">
      <w:pPr>
        <w:spacing w:line="560" w:lineRule="exact"/>
        <w:ind w:firstLine="640" w:firstLineChars="200"/>
        <w:outlineLvl w:val="0"/>
        <w:rPr>
          <w:rFonts w:ascii="Times New Roman" w:hAnsi="Times New Roman"/>
          <w:highlight w:val="none"/>
        </w:rPr>
      </w:pPr>
      <w:r>
        <w:rPr>
          <w:rFonts w:hint="eastAsia" w:ascii="Times New Roman" w:hAnsi="Times New Roman" w:eastAsia="仿宋_GB2312"/>
          <w:sz w:val="32"/>
          <w:szCs w:val="32"/>
          <w:highlight w:val="none"/>
        </w:rPr>
        <w:t>（五）保密要求：供应商须对核查过程中知悉的所有委托方信息予以严格保密，并采取一切必要措施防止信息泄露。服务结束后，须将所有获取的资料返还委托方。</w:t>
      </w:r>
    </w:p>
    <w:p w14:paraId="18B44C95">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六、评选办法</w:t>
      </w:r>
    </w:p>
    <w:p w14:paraId="57EAADF2">
      <w:pPr>
        <w:pStyle w:val="2"/>
        <w:spacing w:line="560" w:lineRule="exact"/>
        <w:ind w:firstLine="640" w:firstLineChars="200"/>
        <w:jc w:val="both"/>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选取方法。采用最低价法，即响应文件满足采购文件全部实质性要求，且报价最低的服务单位为成交供应商。供应商按照固定报价、激励费用报统一下浮比例（下浮率），即所报固定报价下浮率须等于激励费用下浮率，否则作无效报价处理。</w:t>
      </w:r>
    </w:p>
    <w:p w14:paraId="43BB2A2C">
      <w:pPr>
        <w:spacing w:line="560" w:lineRule="exact"/>
        <w:ind w:firstLine="640" w:firstLineChars="200"/>
        <w:rPr>
          <w:rFonts w:ascii="Times New Roman" w:hAnsi="Times New Roman" w:eastAsia="仿宋_GB2312" w:cs="仿宋_GB2312"/>
          <w:bCs/>
          <w:kern w:val="0"/>
          <w:sz w:val="32"/>
          <w:szCs w:val="32"/>
          <w:highlight w:val="none"/>
        </w:rPr>
      </w:pPr>
      <w:r>
        <w:rPr>
          <w:rFonts w:hint="eastAsia" w:ascii="Times New Roman" w:hAnsi="Times New Roman" w:eastAsia="仿宋_GB2312" w:cs="仿宋_GB2312"/>
          <w:bCs/>
          <w:kern w:val="0"/>
          <w:sz w:val="32"/>
          <w:szCs w:val="32"/>
          <w:highlight w:val="none"/>
        </w:rPr>
        <w:t>（二）资格性和符合性审查。由评审小组按照附件1内容对所有响应供应商进行审查,未通过符合性和资格性审查的响应供应商，不进入价格评审。</w:t>
      </w:r>
    </w:p>
    <w:p w14:paraId="63C616A9">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（三）成交候选人推荐：按报价下浮率由高到低的顺序，由评审小组选取排名第一的作为成交候选人。若两家或以上报价相等，则按照随机抽取的方式确定中选供应商。</w:t>
      </w:r>
    </w:p>
    <w:p w14:paraId="436187B3">
      <w:pPr>
        <w:spacing w:line="560" w:lineRule="exact"/>
        <w:ind w:firstLine="640" w:firstLineChars="200"/>
        <w:rPr>
          <w:rFonts w:ascii="Times New Roman" w:hAnsi="Times New Roman" w:eastAsia="仿宋_GB2312" w:cs="仿宋_GB2312"/>
          <w:bCs/>
          <w:kern w:val="0"/>
          <w:sz w:val="32"/>
          <w:szCs w:val="32"/>
          <w:highlight w:val="none"/>
        </w:rPr>
      </w:pPr>
      <w:r>
        <w:rPr>
          <w:rFonts w:hint="eastAsia" w:ascii="Times New Roman" w:hAnsi="Times New Roman" w:eastAsia="仿宋_GB2312" w:cs="仿宋_GB2312"/>
          <w:bCs/>
          <w:kern w:val="0"/>
          <w:sz w:val="32"/>
          <w:szCs w:val="32"/>
          <w:highlight w:val="none"/>
        </w:rPr>
        <w:t>（四）由采购人组建评审小组，负责具体评审事务并履行下列职责：1. 审查、评价响应文件是否满足资格性和符合性审查要求；2.</w:t>
      </w:r>
      <w:r>
        <w:rPr>
          <w:rFonts w:hint="eastAsia"/>
          <w:highlight w:val="none"/>
        </w:rPr>
        <w:t xml:space="preserve"> </w:t>
      </w:r>
      <w:r>
        <w:rPr>
          <w:rFonts w:hint="eastAsia" w:ascii="Times New Roman" w:hAnsi="Times New Roman" w:eastAsia="仿宋_GB2312" w:cs="仿宋_GB2312"/>
          <w:bCs/>
          <w:kern w:val="0"/>
          <w:sz w:val="32"/>
          <w:szCs w:val="32"/>
          <w:highlight w:val="none"/>
        </w:rPr>
        <w:t>对响应文件报价下浮率进行比较；3. 对评审结果签字确认；</w:t>
      </w:r>
      <w:r>
        <w:rPr>
          <w:rFonts w:ascii="Times New Roman" w:hAnsi="Times New Roman" w:eastAsia="仿宋_GB2312" w:cs="仿宋_GB2312"/>
          <w:bCs/>
          <w:kern w:val="0"/>
          <w:sz w:val="32"/>
          <w:szCs w:val="32"/>
          <w:highlight w:val="none"/>
        </w:rPr>
        <w:t>4</w:t>
      </w:r>
      <w:r>
        <w:rPr>
          <w:rFonts w:hint="eastAsia" w:ascii="Times New Roman" w:hAnsi="Times New Roman" w:eastAsia="仿宋_GB2312" w:cs="仿宋_GB2312"/>
          <w:bCs/>
          <w:kern w:val="0"/>
          <w:sz w:val="32"/>
          <w:szCs w:val="32"/>
          <w:highlight w:val="none"/>
        </w:rPr>
        <w:t>. 推荐成交候选人并确定成交供应商。</w:t>
      </w:r>
    </w:p>
    <w:p w14:paraId="7A9D5100">
      <w:pPr>
        <w:spacing w:line="560" w:lineRule="exact"/>
        <w:ind w:firstLine="640" w:firstLineChars="200"/>
        <w:rPr>
          <w:rFonts w:ascii="Times New Roman" w:hAnsi="Times New Roman" w:eastAsia="黑体" w:cs="黑体"/>
          <w:sz w:val="32"/>
          <w:szCs w:val="32"/>
          <w:highlight w:val="none"/>
        </w:rPr>
      </w:pPr>
      <w:r>
        <w:rPr>
          <w:rFonts w:hint="eastAsia" w:ascii="Times New Roman" w:hAnsi="Times New Roman" w:eastAsia="黑体" w:cs="黑体"/>
          <w:sz w:val="32"/>
          <w:szCs w:val="32"/>
          <w:highlight w:val="none"/>
        </w:rPr>
        <w:t>七、报价文件的组成</w:t>
      </w:r>
    </w:p>
    <w:p w14:paraId="003978F8">
      <w:pPr>
        <w:pStyle w:val="2"/>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（一）报价表。</w:t>
      </w:r>
    </w:p>
    <w:p w14:paraId="37E28142">
      <w:pPr>
        <w:pStyle w:val="2"/>
        <w:spacing w:line="560" w:lineRule="exact"/>
        <w:ind w:firstLine="640" w:firstLineChars="200"/>
        <w:rPr>
          <w:rFonts w:ascii="Times New Roman" w:hAnsi="Times New Roman"/>
          <w:highlight w:val="none"/>
        </w:rPr>
      </w:pPr>
      <w:r>
        <w:rPr>
          <w:rFonts w:hint="eastAsia" w:ascii="Times New Roman" w:hAnsi="Times New Roman" w:eastAsia="仿宋_GB2312"/>
          <w:sz w:val="32"/>
          <w:szCs w:val="32"/>
          <w:highlight w:val="none"/>
        </w:rPr>
        <w:t>（二）承诺书。</w:t>
      </w:r>
    </w:p>
    <w:p w14:paraId="07859F8B">
      <w:pPr>
        <w:adjustRightInd w:val="0"/>
        <w:spacing w:line="560" w:lineRule="exact"/>
        <w:ind w:firstLine="640" w:firstLineChars="200"/>
        <w:rPr>
          <w:rFonts w:ascii="Times New Roman" w:hAnsi="Times New Roman"/>
          <w:highlight w:val="none"/>
        </w:rPr>
      </w:pPr>
      <w:r>
        <w:rPr>
          <w:rFonts w:hint="eastAsia" w:ascii="Times New Roman" w:hAnsi="Times New Roman" w:eastAsia="仿宋_GB2312"/>
          <w:sz w:val="32"/>
          <w:szCs w:val="32"/>
          <w:highlight w:val="none"/>
        </w:rPr>
        <w:t>（三）</w:t>
      </w:r>
      <w:r>
        <w:rPr>
          <w:rFonts w:hint="eastAsia" w:ascii="Times New Roman" w:hAnsi="Times New Roman" w:eastAsia="仿宋_GB2312" w:cs="仿宋_GB2312"/>
          <w:bCs/>
          <w:kern w:val="0"/>
          <w:sz w:val="32"/>
          <w:szCs w:val="32"/>
          <w:highlight w:val="none"/>
        </w:rPr>
        <w:t>营业执照及资质证书复印件</w:t>
      </w:r>
      <w:r>
        <w:rPr>
          <w:rFonts w:hint="eastAsia" w:ascii="Times New Roman" w:hAnsi="Times New Roman" w:eastAsia="仿宋_GB2312"/>
          <w:sz w:val="32"/>
          <w:szCs w:val="32"/>
          <w:highlight w:val="none"/>
        </w:rPr>
        <w:t>。</w:t>
      </w:r>
    </w:p>
    <w:p w14:paraId="2C463BD6">
      <w:pPr>
        <w:adjustRightInd w:val="0"/>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（四）法定代表人身份证明、授权委托书。</w:t>
      </w:r>
    </w:p>
    <w:p w14:paraId="1D725E41">
      <w:pPr>
        <w:adjustRightInd w:val="0"/>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（五）报价单位在“信用中国”网站（</w:t>
      </w:r>
      <w:r>
        <w:rPr>
          <w:rFonts w:ascii="Times New Roman" w:hAnsi="Times New Roman" w:eastAsia="仿宋_GB2312"/>
          <w:sz w:val="32"/>
          <w:szCs w:val="32"/>
          <w:highlight w:val="none"/>
        </w:rPr>
        <w:t>www.creditchina.gov.cn</w:t>
      </w:r>
      <w:r>
        <w:rPr>
          <w:rFonts w:hint="eastAsia" w:ascii="Times New Roman" w:hAnsi="Times New Roman" w:eastAsia="仿宋_GB2312"/>
          <w:sz w:val="32"/>
          <w:szCs w:val="32"/>
          <w:highlight w:val="none"/>
        </w:rPr>
        <w:t>）未被列入“</w:t>
      </w:r>
      <w:r>
        <w:rPr>
          <w:rFonts w:hint="eastAsia" w:ascii="Times New Roman" w:hAnsi="Times New Roman" w:eastAsia="仿宋_GB2312" w:cs="仿宋_GB2312"/>
          <w:bCs/>
          <w:kern w:val="0"/>
          <w:sz w:val="32"/>
          <w:szCs w:val="32"/>
          <w:highlight w:val="none"/>
        </w:rPr>
        <w:t>失信行为记录名单、重大税收违法失信主体名单</w:t>
      </w:r>
      <w:r>
        <w:rPr>
          <w:rFonts w:hint="eastAsia" w:ascii="Times New Roman" w:hAnsi="Times New Roman" w:eastAsia="仿宋_GB2312"/>
          <w:sz w:val="32"/>
          <w:szCs w:val="32"/>
          <w:highlight w:val="none"/>
        </w:rPr>
        <w:t>”的查询结果截图。</w:t>
      </w:r>
    </w:p>
    <w:p w14:paraId="4796B177">
      <w:pPr>
        <w:adjustRightInd w:val="0"/>
        <w:spacing w:line="560" w:lineRule="exact"/>
        <w:ind w:firstLine="640" w:firstLineChars="200"/>
        <w:rPr>
          <w:rFonts w:ascii="Times New Roman" w:hAnsi="Times New Roman"/>
          <w:highlight w:val="none"/>
        </w:rPr>
      </w:pPr>
      <w:r>
        <w:rPr>
          <w:rFonts w:hint="eastAsia" w:ascii="Times New Roman" w:hAnsi="Times New Roman" w:eastAsia="仿宋_GB2312"/>
          <w:sz w:val="32"/>
          <w:szCs w:val="32"/>
          <w:highlight w:val="none"/>
        </w:rPr>
        <w:t>（六）报价单位</w:t>
      </w:r>
      <w:r>
        <w:rPr>
          <w:rFonts w:ascii="Times New Roman" w:hAnsi="Times New Roman" w:eastAsia="仿宋_GB2312"/>
          <w:sz w:val="32"/>
          <w:szCs w:val="32"/>
          <w:highlight w:val="none"/>
        </w:rPr>
        <w:t>2022</w:t>
      </w:r>
      <w:r>
        <w:rPr>
          <w:rFonts w:hint="eastAsia" w:ascii="Times New Roman" w:hAnsi="Times New Roman" w:eastAsia="仿宋_GB2312"/>
          <w:sz w:val="32"/>
          <w:szCs w:val="32"/>
          <w:highlight w:val="none"/>
        </w:rPr>
        <w:t>年</w:t>
      </w:r>
      <w:r>
        <w:rPr>
          <w:rFonts w:ascii="Times New Roman" w:hAnsi="Times New Roman" w:eastAsia="仿宋_GB2312"/>
          <w:sz w:val="32"/>
          <w:szCs w:val="32"/>
          <w:highlight w:val="none"/>
        </w:rPr>
        <w:t>1</w:t>
      </w:r>
      <w:r>
        <w:rPr>
          <w:rFonts w:hint="eastAsia" w:ascii="Times New Roman" w:hAnsi="Times New Roman" w:eastAsia="仿宋_GB2312"/>
          <w:sz w:val="32"/>
          <w:szCs w:val="32"/>
          <w:highlight w:val="none"/>
        </w:rPr>
        <w:t>月以来单项合同审核项目建安造价大于1亿元的合同</w:t>
      </w: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rPr>
        <w:t>份及以上。（须提供合同关键页或中标通知书等证明文件复印件）。</w:t>
      </w:r>
    </w:p>
    <w:p w14:paraId="7B22F180">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（七）拟派驻团队名单及拟派项目成员最近</w:t>
      </w:r>
      <w:r>
        <w:rPr>
          <w:rFonts w:ascii="Times New Roman" w:hAnsi="Times New Roman" w:eastAsia="仿宋_GB2312"/>
          <w:sz w:val="32"/>
          <w:szCs w:val="32"/>
          <w:highlight w:val="none"/>
        </w:rPr>
        <w:t>6</w:t>
      </w:r>
      <w:r>
        <w:rPr>
          <w:rFonts w:hint="eastAsia" w:ascii="Times New Roman" w:hAnsi="Times New Roman" w:eastAsia="仿宋_GB2312"/>
          <w:sz w:val="32"/>
          <w:szCs w:val="32"/>
          <w:highlight w:val="none"/>
        </w:rPr>
        <w:t>个月在本单位任职的社保证明。</w:t>
      </w:r>
    </w:p>
    <w:p w14:paraId="0697C273">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（八）拟派项目负责人有效期内的资格证书、职称证书复印件；团队其他成员有效期内的资格证书或职称证书复印件。</w:t>
      </w:r>
    </w:p>
    <w:p w14:paraId="070B6E80">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（九）采购文件规定的其他资格文件。</w:t>
      </w:r>
    </w:p>
    <w:p w14:paraId="5C9AEB3B">
      <w:pPr>
        <w:spacing w:line="560" w:lineRule="exact"/>
        <w:ind w:firstLine="643" w:firstLineChars="200"/>
        <w:rPr>
          <w:rFonts w:ascii="Times New Roman" w:hAnsi="Times New Roman" w:eastAsia="仿宋_GB2312"/>
          <w:b/>
          <w:bCs/>
          <w:sz w:val="32"/>
          <w:szCs w:val="32"/>
          <w:highlight w:val="none"/>
        </w:rPr>
      </w:pPr>
      <w:r>
        <w:rPr>
          <w:rFonts w:hint="eastAsia" w:ascii="Times New Roman" w:hAnsi="Times New Roman" w:eastAsia="仿宋_GB2312"/>
          <w:b/>
          <w:bCs/>
          <w:sz w:val="32"/>
          <w:szCs w:val="32"/>
          <w:highlight w:val="none"/>
        </w:rPr>
        <w:t>以上资质证明材料复印件需加盖公章并确保真实有效。</w:t>
      </w:r>
    </w:p>
    <w:p w14:paraId="3E3F2241">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八、违约责任</w:t>
      </w:r>
    </w:p>
    <w:p w14:paraId="17120011">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延期违约责任：供应商未按合同约定时间交付核查报告、问题清单及有关佐证材料，每逾期一日，应向委托方支付合同总价千分之一的违约金。逾期超过15日，委托方有权单方解除合同，供应商应返还已收取的全部费用。</w:t>
      </w:r>
    </w:p>
    <w:p w14:paraId="28994798">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质量及人员违约：供应商提交的核查报告经验收不合格，或未能按承诺派驻符合要求的核查团队，委托方有权要求其免费重做或限期改正。若未能改正，委托方有权拒付费用并要求供应商支付合同总价10%的违约金。</w:t>
      </w:r>
    </w:p>
    <w:p w14:paraId="1B5C6DA2">
      <w:pPr>
        <w:spacing w:line="560" w:lineRule="exact"/>
        <w:ind w:firstLine="640" w:firstLineChars="200"/>
        <w:outlineLvl w:val="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（三）保密违约责任：如供应商违反保密义务，委托方有权立即解除合同，供应商应支付合同总价20%的违约金，并赔偿因此给委托方造成的一切损失。</w:t>
      </w:r>
    </w:p>
    <w:p w14:paraId="43E6AA68">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（四）核查服务单位将本合同约定的服务内容全部或部分转包给他人，或提供的核查服务与合同约定不符的，委托方有权解除合同。</w:t>
      </w:r>
    </w:p>
    <w:p w14:paraId="0324275C">
      <w:pPr>
        <w:spacing w:line="560" w:lineRule="exact"/>
        <w:ind w:firstLine="640" w:firstLineChars="200"/>
        <w:outlineLvl w:val="0"/>
        <w:rPr>
          <w:rFonts w:ascii="Times New Roman" w:hAnsi="Times New Roman" w:eastAsia="黑体"/>
          <w:sz w:val="32"/>
          <w:szCs w:val="32"/>
          <w:highlight w:val="none"/>
        </w:rPr>
      </w:pPr>
      <w:r>
        <w:rPr>
          <w:rFonts w:hint="eastAsia" w:ascii="Times New Roman" w:hAnsi="Times New Roman" w:eastAsia="黑体"/>
          <w:sz w:val="32"/>
          <w:szCs w:val="32"/>
          <w:highlight w:val="none"/>
        </w:rPr>
        <w:t>九、响应文件要求及递交</w:t>
      </w:r>
    </w:p>
    <w:p w14:paraId="1D06A427">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供应商应完整、真实、准确提供采购文件中规定的所有内容，对响应文件所提供的全部资料的真实性承担法律责任，并无条件接受采购单位及采购监督管理部门等对其中任何资料进行核实的要求。供应商必须对响应文件所提供的全部资料的真实性承担法律责任。</w:t>
      </w:r>
    </w:p>
    <w:p w14:paraId="22D43AB3">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供应商应对响应文件进行装订，并逐页加盖公章，盖骑缝章，响应文件必须装入密封的信封或封套，封套上写明采购项目名称、供应商名称及递交日期，并在封口上加盖供应商公章。无密封或未按规定密封的响应文件将被拒绝。响应文件一式三份，每套响应文件须清楚标明“正本”或“副本”，若副本与正本不符，以正本为准。</w:t>
      </w:r>
    </w:p>
    <w:p w14:paraId="42DC96EE">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（三）法定代表人身份证明书（含法定代表人身份证复印件）、授权委托书（含被授权人身份证复印件）原件单独备一份，不用密封和装订（以备响应文件开启之前检查）。</w:t>
      </w:r>
    </w:p>
    <w:p w14:paraId="23970141">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（四）递交响应文件地址：</w:t>
      </w:r>
      <w:r>
        <w:rPr>
          <w:rFonts w:hint="eastAsia" w:ascii="Times New Roman" w:hAnsi="Times New Roman" w:eastAsia="仿宋_GB2312" w:cs="Times New Roman"/>
          <w:sz w:val="32"/>
          <w:szCs w:val="32"/>
          <w:highlight w:val="none"/>
          <w:lang w:val="en-US" w:eastAsia="zh-CN"/>
        </w:rPr>
        <w:t>惠州市惠城区云山东路27号惠州水务调度中心大楼2005会议室</w:t>
      </w:r>
      <w:r>
        <w:rPr>
          <w:rFonts w:hint="eastAsia" w:ascii="Times New Roman" w:hAnsi="Times New Roman" w:eastAsia="仿宋_GB2312"/>
          <w:sz w:val="32"/>
          <w:szCs w:val="32"/>
          <w:highlight w:val="none"/>
        </w:rPr>
        <w:t>。</w:t>
      </w:r>
    </w:p>
    <w:p w14:paraId="7317D774">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收件人：包小姐，联系电话：</w:t>
      </w:r>
      <w:r>
        <w:rPr>
          <w:rFonts w:ascii="Times New Roman" w:hAnsi="Times New Roman" w:eastAsia="仿宋_GB2312"/>
          <w:sz w:val="32"/>
          <w:szCs w:val="32"/>
          <w:highlight w:val="none"/>
        </w:rPr>
        <w:t>0752-2688243</w:t>
      </w:r>
      <w:r>
        <w:rPr>
          <w:rFonts w:hint="eastAsia" w:ascii="Times New Roman" w:hAnsi="Times New Roman" w:eastAsia="仿宋_GB2312"/>
          <w:sz w:val="32"/>
          <w:szCs w:val="32"/>
          <w:highlight w:val="none"/>
        </w:rPr>
        <w:t>；</w:t>
      </w:r>
    </w:p>
    <w:p w14:paraId="74B169DC">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（五）递交响应文件截止时间：</w:t>
      </w:r>
      <w:r>
        <w:rPr>
          <w:rFonts w:ascii="Times New Roman" w:hAnsi="Times New Roman" w:eastAsia="仿宋_GB2312"/>
          <w:sz w:val="32"/>
          <w:szCs w:val="32"/>
          <w:highlight w:val="none"/>
        </w:rPr>
        <w:t>2025</w:t>
      </w:r>
      <w:r>
        <w:rPr>
          <w:rFonts w:hint="eastAsia" w:ascii="Times New Roman" w:hAnsi="Times New Roman" w:eastAsia="仿宋_GB2312"/>
          <w:sz w:val="32"/>
          <w:szCs w:val="32"/>
          <w:highlight w:val="none"/>
        </w:rPr>
        <w:t>年</w:t>
      </w:r>
      <w:r>
        <w:rPr>
          <w:rFonts w:ascii="Times New Roman" w:hAnsi="Times New Roman" w:eastAsia="仿宋_GB2312"/>
          <w:sz w:val="32"/>
          <w:szCs w:val="32"/>
          <w:highlight w:val="none"/>
        </w:rPr>
        <w:t>8</w:t>
      </w:r>
      <w:r>
        <w:rPr>
          <w:rFonts w:hint="eastAsia" w:ascii="Times New Roman" w:hAnsi="Times New Roman" w:eastAsia="仿宋_GB2312"/>
          <w:sz w:val="32"/>
          <w:szCs w:val="32"/>
          <w:highlight w:val="none"/>
        </w:rPr>
        <w:t>月</w:t>
      </w:r>
      <w:r>
        <w:rPr>
          <w:rFonts w:ascii="Times New Roman" w:hAnsi="Times New Roman" w:eastAsia="仿宋_GB2312"/>
          <w:sz w:val="32"/>
          <w:szCs w:val="32"/>
          <w:highlight w:val="none"/>
        </w:rPr>
        <w:t>29</w:t>
      </w:r>
      <w:r>
        <w:rPr>
          <w:rFonts w:hint="eastAsia" w:ascii="Times New Roman" w:hAnsi="Times New Roman" w:eastAsia="仿宋_GB2312"/>
          <w:sz w:val="32"/>
          <w:szCs w:val="32"/>
          <w:highlight w:val="none"/>
        </w:rPr>
        <w:t>日10时</w:t>
      </w:r>
      <w:r>
        <w:rPr>
          <w:rFonts w:ascii="Times New Roman" w:hAnsi="Times New Roman" w:eastAsia="仿宋_GB2312"/>
          <w:sz w:val="32"/>
          <w:szCs w:val="32"/>
          <w:highlight w:val="none"/>
        </w:rPr>
        <w:t>00</w:t>
      </w:r>
      <w:r>
        <w:rPr>
          <w:rFonts w:hint="eastAsia" w:ascii="Times New Roman" w:hAnsi="Times New Roman" w:eastAsia="仿宋_GB2312"/>
          <w:sz w:val="32"/>
          <w:szCs w:val="32"/>
          <w:highlight w:val="none"/>
        </w:rPr>
        <w:t>分（以收到时间为准，逾期不予受理）。</w:t>
      </w:r>
    </w:p>
    <w:p w14:paraId="55370C57">
      <w:pPr>
        <w:spacing w:line="560" w:lineRule="exact"/>
        <w:ind w:firstLine="640" w:firstLineChars="200"/>
        <w:rPr>
          <w:rFonts w:ascii="Times New Roman" w:hAnsi="Times New Roman"/>
          <w:highlight w:val="none"/>
        </w:rPr>
      </w:pPr>
      <w:r>
        <w:rPr>
          <w:rFonts w:hint="eastAsia" w:ascii="Times New Roman" w:hAnsi="Times New Roman" w:eastAsia="仿宋_GB2312"/>
          <w:sz w:val="32"/>
          <w:szCs w:val="32"/>
          <w:highlight w:val="none"/>
        </w:rPr>
        <w:t>（六）响应文件开启时间、地点：</w:t>
      </w:r>
      <w:r>
        <w:rPr>
          <w:rFonts w:hint="eastAsia" w:ascii="Times New Roman" w:hAnsi="Times New Roman" w:eastAsia="仿宋_GB2312" w:cs="Times New Roman"/>
          <w:sz w:val="32"/>
          <w:szCs w:val="32"/>
          <w:highlight w:val="none"/>
          <w:lang w:val="en-US" w:eastAsia="zh-CN"/>
        </w:rPr>
        <w:t>惠州市惠城区云山东路27号惠州水务调度中心大楼2005会议室</w:t>
      </w:r>
      <w:r>
        <w:rPr>
          <w:rFonts w:hint="eastAsia" w:ascii="Times New Roman" w:hAnsi="Times New Roman" w:eastAsia="仿宋_GB2312"/>
          <w:sz w:val="32"/>
          <w:szCs w:val="32"/>
          <w:highlight w:val="none"/>
        </w:rPr>
        <w:t>。</w:t>
      </w:r>
    </w:p>
    <w:p w14:paraId="3BE14357">
      <w:pPr>
        <w:pStyle w:val="2"/>
        <w:spacing w:line="560" w:lineRule="exact"/>
        <w:ind w:firstLine="640" w:firstLineChars="200"/>
        <w:jc w:val="both"/>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欢迎符合资格的单位积极参与。如对询价内容存在疑问，请于报价截止前与我单位联系咨询。</w:t>
      </w:r>
    </w:p>
    <w:p w14:paraId="4BE1435C">
      <w:pPr>
        <w:pStyle w:val="2"/>
        <w:spacing w:line="560" w:lineRule="exact"/>
        <w:ind w:firstLine="640" w:firstLineChars="200"/>
        <w:rPr>
          <w:rFonts w:ascii="Times New Roman" w:hAnsi="Times New Roman" w:eastAsia="仿宋_GB2312"/>
          <w:sz w:val="32"/>
          <w:szCs w:val="32"/>
          <w:highlight w:val="none"/>
        </w:rPr>
      </w:pPr>
    </w:p>
    <w:p w14:paraId="1BE209B3">
      <w:pPr>
        <w:pStyle w:val="2"/>
        <w:spacing w:line="560" w:lineRule="exact"/>
        <w:ind w:left="1813" w:leftChars="303" w:hanging="1177" w:hangingChars="368"/>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附件：1.</w:t>
      </w:r>
      <w:r>
        <w:rPr>
          <w:rFonts w:hint="eastAsia" w:ascii="Times New Roman" w:hAnsi="Times New Roman" w:eastAsia="仿宋_GB2312"/>
          <w:sz w:val="32"/>
          <w:szCs w:val="32"/>
          <w:highlight w:val="none"/>
          <w:lang w:val="en-GB"/>
        </w:rPr>
        <w:t>资格</w:t>
      </w:r>
      <w:r>
        <w:rPr>
          <w:rFonts w:hint="eastAsia" w:ascii="Times New Roman" w:hAnsi="Times New Roman" w:eastAsia="仿宋_GB2312"/>
          <w:sz w:val="32"/>
          <w:szCs w:val="32"/>
          <w:highlight w:val="none"/>
        </w:rPr>
        <w:t>审查和符合性审查</w:t>
      </w:r>
      <w:r>
        <w:rPr>
          <w:rFonts w:hint="eastAsia" w:ascii="Times New Roman" w:hAnsi="Times New Roman" w:eastAsia="仿宋_GB2312"/>
          <w:sz w:val="32"/>
          <w:szCs w:val="32"/>
          <w:highlight w:val="none"/>
          <w:lang w:val="en-GB"/>
        </w:rPr>
        <w:t>表</w:t>
      </w:r>
    </w:p>
    <w:p w14:paraId="499AD35F">
      <w:pPr>
        <w:pStyle w:val="2"/>
        <w:spacing w:line="560" w:lineRule="exact"/>
        <w:ind w:left="1596" w:leftChars="760" w:firstLine="0"/>
        <w:rPr>
          <w:rFonts w:ascii="Times New Roman" w:hAnsi="Times New Roman" w:eastAsia="仿宋_GB2312"/>
          <w:spacing w:val="-11"/>
          <w:sz w:val="32"/>
          <w:szCs w:val="32"/>
          <w:highlight w:val="none"/>
        </w:rPr>
      </w:pPr>
      <w:r>
        <w:rPr>
          <w:rFonts w:hint="eastAsia" w:ascii="Times New Roman" w:hAnsi="Times New Roman" w:eastAsia="仿宋_GB2312"/>
          <w:sz w:val="32"/>
          <w:szCs w:val="32"/>
          <w:highlight w:val="none"/>
        </w:rPr>
        <w:t>2.惠阳水厂二期及管网配套工程等3个项目自查自纠情况专项核查服务</w:t>
      </w:r>
      <w:r>
        <w:rPr>
          <w:rFonts w:hint="eastAsia" w:ascii="Times New Roman" w:hAnsi="Times New Roman" w:eastAsia="仿宋_GB2312"/>
          <w:spacing w:val="-11"/>
          <w:sz w:val="32"/>
          <w:szCs w:val="32"/>
          <w:highlight w:val="none"/>
        </w:rPr>
        <w:t>报价表</w:t>
      </w:r>
    </w:p>
    <w:p w14:paraId="53ABB7F4">
      <w:pPr>
        <w:pStyle w:val="2"/>
        <w:spacing w:line="560" w:lineRule="exact"/>
        <w:ind w:left="1793" w:leftChars="759" w:hanging="199" w:hangingChars="67"/>
        <w:rPr>
          <w:rFonts w:ascii="Times New Roman" w:hAnsi="Times New Roman" w:eastAsia="仿宋_GB2312"/>
          <w:spacing w:val="-11"/>
          <w:sz w:val="32"/>
          <w:szCs w:val="32"/>
          <w:highlight w:val="none"/>
        </w:rPr>
      </w:pPr>
      <w:r>
        <w:rPr>
          <w:rFonts w:hint="eastAsia" w:ascii="Times New Roman" w:hAnsi="Times New Roman" w:eastAsia="仿宋_GB2312"/>
          <w:spacing w:val="-11"/>
          <w:sz w:val="32"/>
          <w:szCs w:val="32"/>
          <w:highlight w:val="none"/>
        </w:rPr>
        <w:t>3</w:t>
      </w:r>
      <w:r>
        <w:rPr>
          <w:rFonts w:ascii="Times New Roman" w:hAnsi="Times New Roman" w:eastAsia="仿宋_GB2312"/>
          <w:spacing w:val="-11"/>
          <w:sz w:val="32"/>
          <w:szCs w:val="32"/>
          <w:highlight w:val="none"/>
        </w:rPr>
        <w:t>.</w:t>
      </w:r>
      <w:r>
        <w:rPr>
          <w:rFonts w:hint="eastAsia" w:ascii="Times New Roman" w:hAnsi="Times New Roman" w:eastAsia="仿宋_GB2312"/>
          <w:spacing w:val="-11"/>
          <w:sz w:val="32"/>
          <w:szCs w:val="32"/>
          <w:highlight w:val="none"/>
        </w:rPr>
        <w:t>承诺书</w:t>
      </w:r>
    </w:p>
    <w:p w14:paraId="7DBD00AD">
      <w:pPr>
        <w:pStyle w:val="2"/>
        <w:spacing w:line="560" w:lineRule="exact"/>
        <w:rPr>
          <w:rFonts w:ascii="Times New Roman" w:hAnsi="Times New Roman"/>
          <w:highlight w:val="none"/>
        </w:rPr>
      </w:pPr>
    </w:p>
    <w:p w14:paraId="56CFE269">
      <w:pPr>
        <w:spacing w:line="560" w:lineRule="exact"/>
        <w:ind w:firstLine="646"/>
        <w:rPr>
          <w:rFonts w:ascii="Times New Roman" w:hAnsi="Times New Roman" w:eastAsia="仿宋_GB2312"/>
          <w:sz w:val="32"/>
          <w:szCs w:val="32"/>
          <w:highlight w:val="none"/>
        </w:rPr>
      </w:pPr>
    </w:p>
    <w:p w14:paraId="002DAFD7">
      <w:pPr>
        <w:spacing w:line="560" w:lineRule="exact"/>
        <w:ind w:firstLine="646"/>
        <w:jc w:val="righ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惠州市水务集团有限公司</w:t>
      </w:r>
    </w:p>
    <w:p w14:paraId="73BF6879">
      <w:pPr>
        <w:spacing w:line="560" w:lineRule="exact"/>
        <w:ind w:right="320" w:firstLine="646"/>
        <w:jc w:val="righ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2025年8月26日</w:t>
      </w:r>
    </w:p>
    <w:p w14:paraId="5EA9F993">
      <w:pPr>
        <w:spacing w:line="600" w:lineRule="exact"/>
        <w:ind w:right="320"/>
        <w:jc w:val="left"/>
        <w:rPr>
          <w:rFonts w:ascii="Times New Roman" w:hAnsi="Times New Roman" w:eastAsia="黑体"/>
          <w:sz w:val="32"/>
          <w:szCs w:val="32"/>
          <w:highlight w:val="none"/>
        </w:rPr>
        <w:sectPr>
          <w:footerReference r:id="rId4" w:type="first"/>
          <w:footerReference r:id="rId3" w:type="default"/>
          <w:pgSz w:w="11906" w:h="16838"/>
          <w:pgMar w:top="2098" w:right="1474" w:bottom="1985" w:left="1588" w:header="567" w:footer="1021" w:gutter="0"/>
          <w:pgNumType w:fmt="numberInDash"/>
          <w:cols w:space="720" w:num="1"/>
          <w:docGrid w:type="lines" w:linePitch="314" w:charSpace="0"/>
        </w:sectPr>
      </w:pPr>
    </w:p>
    <w:p w14:paraId="39D877BC">
      <w:pPr>
        <w:spacing w:line="600" w:lineRule="exact"/>
        <w:ind w:right="320"/>
        <w:jc w:val="left"/>
        <w:rPr>
          <w:rFonts w:ascii="Times New Roman" w:hAnsi="Times New Roman" w:eastAsia="方正小标宋_GBK" w:cs="方正小标宋_GBK"/>
          <w:sz w:val="44"/>
          <w:szCs w:val="44"/>
          <w:highlight w:val="none"/>
        </w:rPr>
      </w:pPr>
      <w:r>
        <w:rPr>
          <w:rFonts w:hint="eastAsia" w:ascii="Times New Roman" w:hAnsi="Times New Roman" w:eastAsia="黑体"/>
          <w:sz w:val="32"/>
          <w:szCs w:val="32"/>
          <w:highlight w:val="none"/>
        </w:rPr>
        <w:t>附件1</w:t>
      </w:r>
    </w:p>
    <w:p w14:paraId="40764063">
      <w:pPr>
        <w:spacing w:line="560" w:lineRule="exact"/>
        <w:jc w:val="center"/>
        <w:rPr>
          <w:rFonts w:ascii="Times New Roman" w:hAnsi="Times New Roman" w:eastAsia="方正小标宋_GBK" w:cs="方正小标宋_GBK"/>
          <w:sz w:val="44"/>
          <w:szCs w:val="44"/>
          <w:highlight w:val="none"/>
          <w:lang w:val="en-GB"/>
        </w:rPr>
      </w:pPr>
      <w:r>
        <w:rPr>
          <w:rFonts w:hint="eastAsia" w:ascii="Times New Roman" w:hAnsi="Times New Roman" w:eastAsia="方正小标宋_GBK" w:cs="方正小标宋_GBK"/>
          <w:sz w:val="44"/>
          <w:szCs w:val="44"/>
          <w:highlight w:val="none"/>
          <w:lang w:val="en-GB"/>
        </w:rPr>
        <w:t>资格</w:t>
      </w:r>
      <w:r>
        <w:rPr>
          <w:rFonts w:hint="eastAsia" w:ascii="Times New Roman" w:hAnsi="Times New Roman" w:eastAsia="方正小标宋_GBK" w:cs="方正小标宋_GBK"/>
          <w:sz w:val="44"/>
          <w:szCs w:val="44"/>
          <w:highlight w:val="none"/>
        </w:rPr>
        <w:t>审查和符合性审查</w:t>
      </w:r>
      <w:r>
        <w:rPr>
          <w:rFonts w:hint="eastAsia" w:ascii="Times New Roman" w:hAnsi="Times New Roman" w:eastAsia="方正小标宋_GBK" w:cs="方正小标宋_GBK"/>
          <w:sz w:val="44"/>
          <w:szCs w:val="44"/>
          <w:highlight w:val="none"/>
          <w:lang w:val="en-GB"/>
        </w:rPr>
        <w:t>表</w:t>
      </w:r>
    </w:p>
    <w:tbl>
      <w:tblPr>
        <w:tblStyle w:val="8"/>
        <w:tblW w:w="10179" w:type="dxa"/>
        <w:jc w:val="center"/>
        <w:tblLayout w:type="fixed"/>
        <w:tblCellMar>
          <w:top w:w="0" w:type="dxa"/>
          <w:left w:w="0" w:type="dxa"/>
          <w:bottom w:w="0" w:type="dxa"/>
          <w:right w:w="0" w:type="dxa"/>
        </w:tblCellMar>
      </w:tblPr>
      <w:tblGrid>
        <w:gridCol w:w="1398"/>
        <w:gridCol w:w="895"/>
        <w:gridCol w:w="5934"/>
        <w:gridCol w:w="760"/>
        <w:gridCol w:w="674"/>
        <w:gridCol w:w="518"/>
      </w:tblGrid>
      <w:tr w14:paraId="2DE9499C">
        <w:tblPrEx>
          <w:tblCellMar>
            <w:top w:w="0" w:type="dxa"/>
            <w:left w:w="0" w:type="dxa"/>
            <w:bottom w:w="0" w:type="dxa"/>
            <w:right w:w="0" w:type="dxa"/>
          </w:tblCellMar>
        </w:tblPrEx>
        <w:trPr>
          <w:trHeight w:val="1091" w:hRule="atLeast"/>
          <w:jc w:val="center"/>
        </w:trPr>
        <w:tc>
          <w:tcPr>
            <w:tcW w:w="1398" w:type="dxa"/>
            <w:vMerge w:val="restart"/>
            <w:tcBorders>
              <w:top w:val="single" w:color="auto" w:sz="4" w:space="0"/>
              <w:left w:val="single" w:color="auto" w:sz="4" w:space="0"/>
              <w:right w:val="single" w:color="auto" w:sz="4" w:space="0"/>
            </w:tcBorders>
            <w:vAlign w:val="center"/>
          </w:tcPr>
          <w:p w14:paraId="1390EEAF">
            <w:pPr>
              <w:jc w:val="center"/>
              <w:rPr>
                <w:rFonts w:ascii="Times New Roman" w:hAnsi="Times New Roman"/>
                <w:b/>
                <w:szCs w:val="24"/>
                <w:highlight w:val="none"/>
              </w:rPr>
            </w:pPr>
            <w:r>
              <w:rPr>
                <w:rFonts w:hint="eastAsia" w:ascii="Times New Roman" w:hAnsi="Times New Roman"/>
                <w:b/>
                <w:szCs w:val="24"/>
                <w:highlight w:val="none"/>
              </w:rPr>
              <w:t>资格性检查</w:t>
            </w:r>
          </w:p>
        </w:tc>
        <w:tc>
          <w:tcPr>
            <w:tcW w:w="895" w:type="dxa"/>
            <w:tcBorders>
              <w:top w:val="single" w:color="auto" w:sz="4" w:space="0"/>
              <w:left w:val="nil"/>
              <w:bottom w:val="single" w:color="auto" w:sz="4" w:space="0"/>
              <w:right w:val="single" w:color="auto" w:sz="4" w:space="0"/>
            </w:tcBorders>
            <w:vAlign w:val="center"/>
          </w:tcPr>
          <w:p w14:paraId="3A216573">
            <w:pPr>
              <w:jc w:val="center"/>
              <w:rPr>
                <w:rFonts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1</w:t>
            </w:r>
          </w:p>
        </w:tc>
        <w:tc>
          <w:tcPr>
            <w:tcW w:w="5934" w:type="dxa"/>
            <w:tcBorders>
              <w:top w:val="single" w:color="auto" w:sz="4" w:space="0"/>
              <w:left w:val="nil"/>
              <w:bottom w:val="single" w:color="auto" w:sz="4" w:space="0"/>
              <w:right w:val="single" w:color="auto" w:sz="4" w:space="0"/>
            </w:tcBorders>
            <w:vAlign w:val="center"/>
          </w:tcPr>
          <w:p w14:paraId="2E3DB742">
            <w:pPr>
              <w:spacing w:line="320" w:lineRule="exact"/>
              <w:rPr>
                <w:rFonts w:ascii="Times New Roman" w:hAnsi="Times New Roman"/>
                <w:szCs w:val="24"/>
                <w:highlight w:val="none"/>
              </w:rPr>
            </w:pPr>
            <w:r>
              <w:rPr>
                <w:rFonts w:hint="eastAsia" w:ascii="Times New Roman" w:hAnsi="Times New Roman"/>
                <w:szCs w:val="24"/>
                <w:highlight w:val="none"/>
              </w:rPr>
              <w:t>供应商是已在中国境内注册，在法律上、财务上独立，合法运作的独立法人，且经营范围必须满足本次采购项目需求范围。</w:t>
            </w:r>
          </w:p>
          <w:p w14:paraId="10AC2796">
            <w:pPr>
              <w:spacing w:line="320" w:lineRule="exact"/>
              <w:rPr>
                <w:rFonts w:ascii="Times New Roman" w:hAnsi="Times New Roman"/>
                <w:szCs w:val="24"/>
                <w:highlight w:val="none"/>
              </w:rPr>
            </w:pPr>
            <w:r>
              <w:rPr>
                <w:rFonts w:hint="eastAsia" w:ascii="Times New Roman" w:hAnsi="Times New Roman"/>
                <w:szCs w:val="24"/>
                <w:highlight w:val="none"/>
              </w:rPr>
              <w:t>提供通过年检的营业执照副本或事业单位法人证书（复印件）。</w:t>
            </w:r>
          </w:p>
        </w:tc>
        <w:tc>
          <w:tcPr>
            <w:tcW w:w="760" w:type="dxa"/>
            <w:tcBorders>
              <w:top w:val="single" w:color="auto" w:sz="4" w:space="0"/>
              <w:left w:val="nil"/>
              <w:bottom w:val="single" w:color="auto" w:sz="4" w:space="0"/>
              <w:right w:val="single" w:color="auto" w:sz="4" w:space="0"/>
            </w:tcBorders>
            <w:vAlign w:val="center"/>
          </w:tcPr>
          <w:p w14:paraId="37775958">
            <w:pPr>
              <w:jc w:val="center"/>
              <w:rPr>
                <w:rFonts w:ascii="Times New Roman" w:hAnsi="Times New Roman"/>
                <w:szCs w:val="24"/>
                <w:highlight w:val="none"/>
              </w:rPr>
            </w:pPr>
            <w:r>
              <w:rPr>
                <w:rFonts w:hint="eastAsia" w:ascii="Times New Roman" w:hAnsi="Times New Roman"/>
                <w:szCs w:val="24"/>
                <w:highlight w:val="none"/>
              </w:rPr>
              <w:t>供应商</w:t>
            </w:r>
            <w:r>
              <w:rPr>
                <w:rFonts w:ascii="Times New Roman" w:hAnsi="Times New Roman"/>
                <w:szCs w:val="24"/>
                <w:highlight w:val="none"/>
              </w:rPr>
              <w:t>A</w:t>
            </w:r>
          </w:p>
        </w:tc>
        <w:tc>
          <w:tcPr>
            <w:tcW w:w="674" w:type="dxa"/>
            <w:tcBorders>
              <w:top w:val="single" w:color="auto" w:sz="4" w:space="0"/>
              <w:left w:val="nil"/>
              <w:bottom w:val="single" w:color="auto" w:sz="4" w:space="0"/>
              <w:right w:val="single" w:color="auto" w:sz="4" w:space="0"/>
            </w:tcBorders>
            <w:vAlign w:val="center"/>
          </w:tcPr>
          <w:p w14:paraId="78AB531E">
            <w:pPr>
              <w:jc w:val="center"/>
              <w:rPr>
                <w:rFonts w:ascii="Times New Roman" w:hAnsi="Times New Roman"/>
                <w:szCs w:val="24"/>
                <w:highlight w:val="none"/>
              </w:rPr>
            </w:pPr>
            <w:r>
              <w:rPr>
                <w:rFonts w:hint="eastAsia" w:ascii="Times New Roman" w:hAnsi="Times New Roman"/>
                <w:szCs w:val="24"/>
                <w:highlight w:val="none"/>
              </w:rPr>
              <w:t>供应商</w:t>
            </w:r>
            <w:r>
              <w:rPr>
                <w:rFonts w:ascii="Times New Roman" w:hAnsi="Times New Roman"/>
                <w:szCs w:val="24"/>
                <w:highlight w:val="none"/>
              </w:rPr>
              <w:t>B</w:t>
            </w:r>
          </w:p>
        </w:tc>
        <w:tc>
          <w:tcPr>
            <w:tcW w:w="518" w:type="dxa"/>
            <w:tcBorders>
              <w:top w:val="single" w:color="auto" w:sz="4" w:space="0"/>
              <w:left w:val="nil"/>
              <w:bottom w:val="single" w:color="auto" w:sz="4" w:space="0"/>
              <w:right w:val="single" w:color="auto" w:sz="4" w:space="0"/>
            </w:tcBorders>
            <w:vAlign w:val="center"/>
          </w:tcPr>
          <w:p w14:paraId="5FA0910B">
            <w:pPr>
              <w:jc w:val="center"/>
              <w:rPr>
                <w:rFonts w:ascii="Times New Roman" w:hAnsi="Times New Roman"/>
                <w:szCs w:val="24"/>
                <w:highlight w:val="none"/>
              </w:rPr>
            </w:pPr>
            <w:r>
              <w:rPr>
                <w:rFonts w:ascii="Times New Roman" w:hAnsi="Times New Roman"/>
                <w:szCs w:val="24"/>
                <w:highlight w:val="none"/>
              </w:rPr>
              <w:t>……….</w:t>
            </w:r>
          </w:p>
        </w:tc>
      </w:tr>
      <w:tr w14:paraId="73D00D28">
        <w:tblPrEx>
          <w:tblCellMar>
            <w:top w:w="0" w:type="dxa"/>
            <w:left w:w="0" w:type="dxa"/>
            <w:bottom w:w="0" w:type="dxa"/>
            <w:right w:w="0" w:type="dxa"/>
          </w:tblCellMar>
        </w:tblPrEx>
        <w:trPr>
          <w:trHeight w:val="236" w:hRule="atLeast"/>
          <w:jc w:val="center"/>
        </w:trPr>
        <w:tc>
          <w:tcPr>
            <w:tcW w:w="1398" w:type="dxa"/>
            <w:vMerge w:val="continue"/>
            <w:tcBorders>
              <w:left w:val="single" w:color="auto" w:sz="4" w:space="0"/>
              <w:right w:val="single" w:color="auto" w:sz="4" w:space="0"/>
            </w:tcBorders>
            <w:vAlign w:val="center"/>
          </w:tcPr>
          <w:p w14:paraId="69B9ADC0">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134B94EA">
            <w:pPr>
              <w:jc w:val="center"/>
              <w:rPr>
                <w:rFonts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2</w:t>
            </w:r>
          </w:p>
        </w:tc>
        <w:tc>
          <w:tcPr>
            <w:tcW w:w="5934" w:type="dxa"/>
            <w:tcBorders>
              <w:top w:val="single" w:color="auto" w:sz="4" w:space="0"/>
              <w:left w:val="nil"/>
              <w:bottom w:val="single" w:color="auto" w:sz="4" w:space="0"/>
              <w:right w:val="single" w:color="auto" w:sz="4" w:space="0"/>
            </w:tcBorders>
            <w:vAlign w:val="center"/>
          </w:tcPr>
          <w:p w14:paraId="559C99A4">
            <w:pPr>
              <w:spacing w:line="320" w:lineRule="exact"/>
              <w:rPr>
                <w:rFonts w:ascii="Times New Roman" w:hAnsi="Times New Roman"/>
                <w:szCs w:val="24"/>
                <w:highlight w:val="none"/>
              </w:rPr>
            </w:pPr>
            <w:r>
              <w:rPr>
                <w:rFonts w:hint="eastAsia" w:ascii="Times New Roman" w:hAnsi="Times New Roman"/>
                <w:szCs w:val="24"/>
                <w:highlight w:val="none"/>
              </w:rPr>
              <w:t>供应商需配备具有相应专业能力且满足本项目需求的专业技术团队，具备相关专业知识和工作经验，其中拟派的项目负责人须具备一级注册造价工程师</w:t>
            </w:r>
            <w:r>
              <w:rPr>
                <w:rFonts w:ascii="Times New Roman" w:hAnsi="Times New Roman"/>
                <w:szCs w:val="24"/>
                <w:highlight w:val="none"/>
              </w:rPr>
              <w:t>(</w:t>
            </w:r>
            <w:r>
              <w:rPr>
                <w:rFonts w:hint="eastAsia" w:ascii="Times New Roman" w:hAnsi="Times New Roman"/>
                <w:szCs w:val="24"/>
                <w:highlight w:val="none"/>
              </w:rPr>
              <w:t>或原注册造价工程师</w:t>
            </w:r>
            <w:r>
              <w:rPr>
                <w:rFonts w:ascii="Times New Roman" w:hAnsi="Times New Roman"/>
                <w:szCs w:val="24"/>
                <w:highlight w:val="none"/>
              </w:rPr>
              <w:t>)</w:t>
            </w:r>
            <w:r>
              <w:rPr>
                <w:rFonts w:hint="eastAsia" w:ascii="Times New Roman" w:hAnsi="Times New Roman"/>
                <w:szCs w:val="24"/>
                <w:highlight w:val="none"/>
              </w:rPr>
              <w:t>执业资格以及高级工程师技术职称。</w:t>
            </w:r>
          </w:p>
          <w:p w14:paraId="73BF111A">
            <w:pPr>
              <w:rPr>
                <w:rFonts w:ascii="Times New Roman" w:hAnsi="Times New Roman"/>
                <w:highlight w:val="none"/>
              </w:rPr>
            </w:pPr>
            <w:r>
              <w:rPr>
                <w:rFonts w:hint="eastAsia" w:ascii="Times New Roman" w:hAnsi="Times New Roman"/>
                <w:highlight w:val="none"/>
              </w:rPr>
              <w:t>提供项目负责人执业资格证书复印件、高级职称证书复印件、近6个月社保证明。</w:t>
            </w:r>
          </w:p>
        </w:tc>
        <w:tc>
          <w:tcPr>
            <w:tcW w:w="760" w:type="dxa"/>
            <w:tcBorders>
              <w:top w:val="single" w:color="auto" w:sz="4" w:space="0"/>
              <w:left w:val="nil"/>
              <w:bottom w:val="single" w:color="auto" w:sz="4" w:space="0"/>
              <w:right w:val="single" w:color="auto" w:sz="4" w:space="0"/>
            </w:tcBorders>
            <w:vAlign w:val="center"/>
          </w:tcPr>
          <w:p w14:paraId="03FFFB33">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0E54849C">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5B70072C">
            <w:pPr>
              <w:rPr>
                <w:rFonts w:ascii="Times New Roman" w:hAnsi="Times New Roman"/>
                <w:szCs w:val="24"/>
                <w:highlight w:val="none"/>
              </w:rPr>
            </w:pPr>
          </w:p>
        </w:tc>
      </w:tr>
      <w:tr w14:paraId="7FE32BC9">
        <w:tblPrEx>
          <w:tblCellMar>
            <w:top w:w="0" w:type="dxa"/>
            <w:left w:w="0" w:type="dxa"/>
            <w:bottom w:w="0" w:type="dxa"/>
            <w:right w:w="0" w:type="dxa"/>
          </w:tblCellMar>
        </w:tblPrEx>
        <w:trPr>
          <w:trHeight w:val="236" w:hRule="atLeast"/>
          <w:jc w:val="center"/>
        </w:trPr>
        <w:tc>
          <w:tcPr>
            <w:tcW w:w="1398" w:type="dxa"/>
            <w:vMerge w:val="continue"/>
            <w:tcBorders>
              <w:left w:val="single" w:color="auto" w:sz="4" w:space="0"/>
              <w:right w:val="single" w:color="auto" w:sz="4" w:space="0"/>
            </w:tcBorders>
            <w:vAlign w:val="center"/>
          </w:tcPr>
          <w:p w14:paraId="0F95A022">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7A2D01B4">
            <w:pPr>
              <w:jc w:val="center"/>
              <w:rPr>
                <w:rFonts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3</w:t>
            </w:r>
          </w:p>
        </w:tc>
        <w:tc>
          <w:tcPr>
            <w:tcW w:w="5934" w:type="dxa"/>
            <w:tcBorders>
              <w:top w:val="single" w:color="auto" w:sz="4" w:space="0"/>
              <w:left w:val="nil"/>
              <w:bottom w:val="single" w:color="auto" w:sz="4" w:space="0"/>
              <w:right w:val="single" w:color="auto" w:sz="4" w:space="0"/>
            </w:tcBorders>
            <w:vAlign w:val="center"/>
          </w:tcPr>
          <w:p w14:paraId="2BA74FED">
            <w:pPr>
              <w:rPr>
                <w:rFonts w:ascii="Times New Roman" w:hAnsi="Times New Roman"/>
                <w:highlight w:val="none"/>
              </w:rPr>
            </w:pPr>
            <w:r>
              <w:rPr>
                <w:rFonts w:hint="eastAsia" w:ascii="Times New Roman" w:hAnsi="Times New Roman"/>
                <w:highlight w:val="none"/>
              </w:rPr>
              <w:t>供应商拟派出的专业团队至少3人，除项目负责人外的其他成员，须具有工程师或以上职称，鼓励派驻一级注册造价工程师（原注册造价工程师）。</w:t>
            </w:r>
          </w:p>
          <w:p w14:paraId="4CB2028D">
            <w:pPr>
              <w:rPr>
                <w:rFonts w:ascii="Times New Roman" w:hAnsi="Times New Roman"/>
                <w:highlight w:val="none"/>
              </w:rPr>
            </w:pPr>
            <w:r>
              <w:rPr>
                <w:rFonts w:hint="eastAsia" w:ascii="Times New Roman" w:hAnsi="Times New Roman"/>
                <w:highlight w:val="none"/>
              </w:rPr>
              <w:t>提供除项目负责人外的其他拟派出团队成员执业资格证书复印件或职称证书复印件、近6个月社保证明。</w:t>
            </w:r>
          </w:p>
        </w:tc>
        <w:tc>
          <w:tcPr>
            <w:tcW w:w="760" w:type="dxa"/>
            <w:tcBorders>
              <w:top w:val="single" w:color="auto" w:sz="4" w:space="0"/>
              <w:left w:val="nil"/>
              <w:bottom w:val="single" w:color="auto" w:sz="4" w:space="0"/>
              <w:right w:val="single" w:color="auto" w:sz="4" w:space="0"/>
            </w:tcBorders>
            <w:vAlign w:val="center"/>
          </w:tcPr>
          <w:p w14:paraId="6418B1B0">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22659E4E">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2F76E95C">
            <w:pPr>
              <w:rPr>
                <w:rFonts w:ascii="Times New Roman" w:hAnsi="Times New Roman"/>
                <w:szCs w:val="24"/>
                <w:highlight w:val="none"/>
              </w:rPr>
            </w:pPr>
          </w:p>
        </w:tc>
      </w:tr>
      <w:tr w14:paraId="298323B2">
        <w:tblPrEx>
          <w:tblCellMar>
            <w:top w:w="0" w:type="dxa"/>
            <w:left w:w="0" w:type="dxa"/>
            <w:bottom w:w="0" w:type="dxa"/>
            <w:right w:w="0" w:type="dxa"/>
          </w:tblCellMar>
        </w:tblPrEx>
        <w:trPr>
          <w:trHeight w:val="398" w:hRule="atLeast"/>
          <w:jc w:val="center"/>
        </w:trPr>
        <w:tc>
          <w:tcPr>
            <w:tcW w:w="1398" w:type="dxa"/>
            <w:vMerge w:val="continue"/>
            <w:tcBorders>
              <w:left w:val="single" w:color="auto" w:sz="4" w:space="0"/>
              <w:bottom w:val="single" w:color="auto" w:sz="4" w:space="0"/>
              <w:right w:val="single" w:color="auto" w:sz="4" w:space="0"/>
            </w:tcBorders>
            <w:vAlign w:val="center"/>
          </w:tcPr>
          <w:p w14:paraId="4913B528">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1419922E">
            <w:pPr>
              <w:jc w:val="center"/>
              <w:rPr>
                <w:rFonts w:ascii="Times New Roman" w:hAnsi="Times New Roman"/>
                <w:szCs w:val="24"/>
                <w:highlight w:val="none"/>
              </w:rPr>
            </w:pPr>
            <w:r>
              <w:rPr>
                <w:rFonts w:hint="eastAsia" w:ascii="Times New Roman" w:hAnsi="Times New Roman"/>
                <w:szCs w:val="24"/>
                <w:highlight w:val="none"/>
              </w:rPr>
              <w:t>指标4</w:t>
            </w:r>
          </w:p>
        </w:tc>
        <w:tc>
          <w:tcPr>
            <w:tcW w:w="5934" w:type="dxa"/>
            <w:tcBorders>
              <w:top w:val="single" w:color="auto" w:sz="4" w:space="0"/>
              <w:left w:val="nil"/>
              <w:bottom w:val="single" w:color="auto" w:sz="4" w:space="0"/>
              <w:right w:val="single" w:color="auto" w:sz="4" w:space="0"/>
            </w:tcBorders>
            <w:vAlign w:val="center"/>
          </w:tcPr>
          <w:p w14:paraId="3409AF9A">
            <w:pPr>
              <w:spacing w:line="320" w:lineRule="exact"/>
              <w:rPr>
                <w:rFonts w:ascii="Times New Roman" w:hAnsi="Times New Roman"/>
                <w:szCs w:val="24"/>
                <w:highlight w:val="none"/>
                <w:lang w:val="zh-CN"/>
              </w:rPr>
            </w:pPr>
            <w:r>
              <w:rPr>
                <w:rFonts w:hint="eastAsia" w:ascii="Times New Roman" w:hAnsi="Times New Roman"/>
                <w:szCs w:val="24"/>
                <w:highlight w:val="none"/>
                <w:lang w:val="zh-CN"/>
              </w:rPr>
              <w:t>供应商2022年1月以来单项合同审核项目建安造价大于1亿元的合同3份及以上。</w:t>
            </w:r>
          </w:p>
          <w:p w14:paraId="72A265F5">
            <w:pPr>
              <w:spacing w:line="320" w:lineRule="exact"/>
              <w:rPr>
                <w:rFonts w:ascii="Times New Roman" w:hAnsi="Times New Roman"/>
                <w:szCs w:val="24"/>
                <w:highlight w:val="none"/>
              </w:rPr>
            </w:pPr>
            <w:r>
              <w:rPr>
                <w:rFonts w:hint="eastAsia" w:ascii="Times New Roman" w:hAnsi="Times New Roman"/>
                <w:szCs w:val="24"/>
                <w:highlight w:val="none"/>
                <w:lang w:val="zh-CN"/>
              </w:rPr>
              <w:t>提供合同关键页或中标通知书等证明文件。</w:t>
            </w:r>
          </w:p>
        </w:tc>
        <w:tc>
          <w:tcPr>
            <w:tcW w:w="760" w:type="dxa"/>
            <w:tcBorders>
              <w:top w:val="single" w:color="auto" w:sz="4" w:space="0"/>
              <w:left w:val="nil"/>
              <w:bottom w:val="single" w:color="auto" w:sz="4" w:space="0"/>
              <w:right w:val="single" w:color="auto" w:sz="4" w:space="0"/>
            </w:tcBorders>
            <w:vAlign w:val="center"/>
          </w:tcPr>
          <w:p w14:paraId="5B2E5EFD">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1CFEFAD6">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7CE99EEF">
            <w:pPr>
              <w:rPr>
                <w:rFonts w:ascii="Times New Roman" w:hAnsi="Times New Roman"/>
                <w:szCs w:val="24"/>
                <w:highlight w:val="none"/>
              </w:rPr>
            </w:pPr>
          </w:p>
        </w:tc>
      </w:tr>
      <w:tr w14:paraId="7E75FD50">
        <w:tblPrEx>
          <w:tblCellMar>
            <w:top w:w="0" w:type="dxa"/>
            <w:left w:w="0" w:type="dxa"/>
            <w:bottom w:w="0" w:type="dxa"/>
            <w:right w:w="0" w:type="dxa"/>
          </w:tblCellMar>
        </w:tblPrEx>
        <w:trPr>
          <w:trHeight w:val="398" w:hRule="atLeast"/>
          <w:jc w:val="center"/>
        </w:trPr>
        <w:tc>
          <w:tcPr>
            <w:tcW w:w="1398" w:type="dxa"/>
            <w:vMerge w:val="continue"/>
            <w:tcBorders>
              <w:left w:val="single" w:color="auto" w:sz="4" w:space="0"/>
              <w:bottom w:val="single" w:color="auto" w:sz="4" w:space="0"/>
              <w:right w:val="single" w:color="auto" w:sz="4" w:space="0"/>
            </w:tcBorders>
            <w:vAlign w:val="center"/>
          </w:tcPr>
          <w:p w14:paraId="26FD3AA8">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5BC01473">
            <w:pPr>
              <w:jc w:val="center"/>
              <w:rPr>
                <w:rFonts w:ascii="Times New Roman" w:hAnsi="Times New Roman"/>
                <w:szCs w:val="24"/>
                <w:highlight w:val="none"/>
              </w:rPr>
            </w:pPr>
            <w:r>
              <w:rPr>
                <w:rFonts w:hint="eastAsia" w:ascii="Times New Roman" w:hAnsi="Times New Roman"/>
                <w:szCs w:val="24"/>
                <w:highlight w:val="none"/>
              </w:rPr>
              <w:t>指标5</w:t>
            </w:r>
          </w:p>
        </w:tc>
        <w:tc>
          <w:tcPr>
            <w:tcW w:w="5934" w:type="dxa"/>
            <w:tcBorders>
              <w:top w:val="single" w:color="auto" w:sz="4" w:space="0"/>
              <w:left w:val="nil"/>
              <w:bottom w:val="single" w:color="auto" w:sz="4" w:space="0"/>
              <w:right w:val="single" w:color="auto" w:sz="4" w:space="0"/>
            </w:tcBorders>
            <w:vAlign w:val="center"/>
          </w:tcPr>
          <w:p w14:paraId="72DD5C50">
            <w:pPr>
              <w:spacing w:line="320" w:lineRule="exact"/>
              <w:rPr>
                <w:rFonts w:ascii="Times New Roman" w:hAnsi="Times New Roman"/>
                <w:szCs w:val="24"/>
                <w:highlight w:val="none"/>
              </w:rPr>
            </w:pPr>
            <w:r>
              <w:rPr>
                <w:rFonts w:hint="eastAsia" w:ascii="Times New Roman" w:hAnsi="Times New Roman"/>
                <w:szCs w:val="24"/>
                <w:highlight w:val="none"/>
              </w:rPr>
              <w:t>供应商在“信用中国”网站（</w:t>
            </w:r>
            <w:r>
              <w:rPr>
                <w:rFonts w:ascii="Times New Roman" w:hAnsi="Times New Roman"/>
                <w:szCs w:val="24"/>
                <w:highlight w:val="none"/>
              </w:rPr>
              <w:t>www.creditchina.gov.cn</w:t>
            </w:r>
            <w:r>
              <w:rPr>
                <w:rFonts w:hint="eastAsia" w:ascii="Times New Roman" w:hAnsi="Times New Roman"/>
                <w:szCs w:val="24"/>
                <w:highlight w:val="none"/>
              </w:rPr>
              <w:t>）未被列入“失信行为记录名单、重大税收违法失信主体名单”记录名单。</w:t>
            </w:r>
          </w:p>
          <w:p w14:paraId="312B4F6A">
            <w:pPr>
              <w:spacing w:line="320" w:lineRule="exact"/>
              <w:rPr>
                <w:rFonts w:ascii="Times New Roman" w:hAnsi="Times New Roman"/>
                <w:szCs w:val="24"/>
                <w:highlight w:val="none"/>
              </w:rPr>
            </w:pPr>
            <w:r>
              <w:rPr>
                <w:rFonts w:hint="eastAsia" w:ascii="Times New Roman" w:hAnsi="Times New Roman"/>
                <w:szCs w:val="24"/>
                <w:highlight w:val="none"/>
              </w:rPr>
              <w:t>提供“</w:t>
            </w:r>
            <w:r>
              <w:rPr>
                <w:rFonts w:hint="eastAsia" w:ascii="Times New Roman" w:hAnsi="Times New Roman"/>
                <w:szCs w:val="24"/>
                <w:highlight w:val="none"/>
                <w:lang w:val="zh-CN"/>
              </w:rPr>
              <w:t>信用中国</w:t>
            </w:r>
            <w:r>
              <w:rPr>
                <w:rFonts w:hint="eastAsia" w:ascii="Times New Roman" w:hAnsi="Times New Roman"/>
                <w:szCs w:val="24"/>
                <w:highlight w:val="none"/>
              </w:rPr>
              <w:t>”</w:t>
            </w:r>
            <w:r>
              <w:rPr>
                <w:rFonts w:hint="eastAsia" w:ascii="Times New Roman" w:hAnsi="Times New Roman"/>
                <w:szCs w:val="24"/>
                <w:highlight w:val="none"/>
                <w:lang w:val="zh-CN"/>
              </w:rPr>
              <w:t>网站</w:t>
            </w:r>
            <w:r>
              <w:rPr>
                <w:rFonts w:hint="eastAsia" w:ascii="Times New Roman" w:hAnsi="Times New Roman"/>
                <w:szCs w:val="24"/>
                <w:highlight w:val="none"/>
              </w:rPr>
              <w:t>（</w:t>
            </w:r>
            <w:r>
              <w:rPr>
                <w:rFonts w:ascii="Times New Roman" w:hAnsi="Times New Roman"/>
                <w:szCs w:val="24"/>
                <w:highlight w:val="none"/>
              </w:rPr>
              <w:t>www.creditchina.gov.cn</w:t>
            </w:r>
            <w:r>
              <w:rPr>
                <w:rFonts w:hint="eastAsia" w:ascii="Times New Roman" w:hAnsi="Times New Roman"/>
                <w:szCs w:val="24"/>
                <w:highlight w:val="none"/>
              </w:rPr>
              <w:t>）</w:t>
            </w:r>
            <w:r>
              <w:rPr>
                <w:rFonts w:hint="eastAsia" w:ascii="Times New Roman" w:hAnsi="Times New Roman"/>
                <w:szCs w:val="24"/>
                <w:highlight w:val="none"/>
                <w:lang w:val="zh-CN"/>
              </w:rPr>
              <w:t>、查询相关主体信用记录的截图。</w:t>
            </w:r>
          </w:p>
        </w:tc>
        <w:tc>
          <w:tcPr>
            <w:tcW w:w="760" w:type="dxa"/>
            <w:tcBorders>
              <w:top w:val="single" w:color="auto" w:sz="4" w:space="0"/>
              <w:left w:val="nil"/>
              <w:bottom w:val="single" w:color="auto" w:sz="4" w:space="0"/>
              <w:right w:val="single" w:color="auto" w:sz="4" w:space="0"/>
            </w:tcBorders>
            <w:vAlign w:val="center"/>
          </w:tcPr>
          <w:p w14:paraId="65927424">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3E7E72BA">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140427C2">
            <w:pPr>
              <w:rPr>
                <w:rFonts w:ascii="Times New Roman" w:hAnsi="Times New Roman"/>
                <w:szCs w:val="24"/>
                <w:highlight w:val="none"/>
              </w:rPr>
            </w:pPr>
          </w:p>
        </w:tc>
      </w:tr>
      <w:tr w14:paraId="5678F4B7">
        <w:tblPrEx>
          <w:tblCellMar>
            <w:top w:w="0" w:type="dxa"/>
            <w:left w:w="0" w:type="dxa"/>
            <w:bottom w:w="0" w:type="dxa"/>
            <w:right w:w="0" w:type="dxa"/>
          </w:tblCellMar>
        </w:tblPrEx>
        <w:trPr>
          <w:trHeight w:val="756" w:hRule="atLeast"/>
          <w:jc w:val="center"/>
        </w:trPr>
        <w:tc>
          <w:tcPr>
            <w:tcW w:w="1398" w:type="dxa"/>
            <w:vMerge w:val="restart"/>
            <w:tcBorders>
              <w:top w:val="single" w:color="auto" w:sz="4" w:space="0"/>
              <w:left w:val="single" w:color="auto" w:sz="4" w:space="0"/>
              <w:right w:val="single" w:color="auto" w:sz="4" w:space="0"/>
            </w:tcBorders>
            <w:vAlign w:val="center"/>
          </w:tcPr>
          <w:p w14:paraId="0F83DCFA">
            <w:pPr>
              <w:jc w:val="center"/>
              <w:rPr>
                <w:rFonts w:ascii="Times New Roman" w:hAnsi="Times New Roman"/>
                <w:b/>
                <w:szCs w:val="24"/>
                <w:highlight w:val="none"/>
              </w:rPr>
            </w:pPr>
            <w:r>
              <w:rPr>
                <w:rFonts w:hint="eastAsia" w:ascii="Times New Roman" w:hAnsi="Times New Roman"/>
                <w:b/>
                <w:szCs w:val="24"/>
                <w:highlight w:val="none"/>
              </w:rPr>
              <w:t>符合性检查</w:t>
            </w:r>
          </w:p>
        </w:tc>
        <w:tc>
          <w:tcPr>
            <w:tcW w:w="895" w:type="dxa"/>
            <w:tcBorders>
              <w:top w:val="single" w:color="auto" w:sz="4" w:space="0"/>
              <w:left w:val="nil"/>
              <w:bottom w:val="single" w:color="auto" w:sz="4" w:space="0"/>
              <w:right w:val="single" w:color="auto" w:sz="4" w:space="0"/>
            </w:tcBorders>
            <w:vAlign w:val="center"/>
          </w:tcPr>
          <w:p w14:paraId="50C1207C">
            <w:pPr>
              <w:jc w:val="center"/>
              <w:rPr>
                <w:rFonts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1</w:t>
            </w:r>
          </w:p>
        </w:tc>
        <w:tc>
          <w:tcPr>
            <w:tcW w:w="5934" w:type="dxa"/>
            <w:tcBorders>
              <w:top w:val="single" w:color="auto" w:sz="4" w:space="0"/>
              <w:left w:val="nil"/>
              <w:bottom w:val="single" w:color="auto" w:sz="4" w:space="0"/>
              <w:right w:val="single" w:color="auto" w:sz="4" w:space="0"/>
            </w:tcBorders>
            <w:vAlign w:val="center"/>
          </w:tcPr>
          <w:p w14:paraId="1C0821B2">
            <w:pPr>
              <w:spacing w:line="320" w:lineRule="exact"/>
              <w:rPr>
                <w:rFonts w:ascii="Times New Roman" w:hAnsi="Times New Roman"/>
                <w:szCs w:val="24"/>
                <w:highlight w:val="none"/>
              </w:rPr>
            </w:pPr>
            <w:r>
              <w:rPr>
                <w:rFonts w:hint="eastAsia" w:ascii="Times New Roman" w:hAnsi="Times New Roman"/>
                <w:szCs w:val="24"/>
                <w:highlight w:val="none"/>
                <w:lang w:val="zh-CN"/>
              </w:rPr>
              <w:t>响应文件上法定代表人或其授权代理人的签字、承诺书等证明材料供应商的单位章盖章齐全，符合采购文件规定。</w:t>
            </w:r>
          </w:p>
        </w:tc>
        <w:tc>
          <w:tcPr>
            <w:tcW w:w="760" w:type="dxa"/>
            <w:tcBorders>
              <w:top w:val="single" w:color="auto" w:sz="4" w:space="0"/>
              <w:left w:val="nil"/>
              <w:bottom w:val="single" w:color="auto" w:sz="4" w:space="0"/>
              <w:right w:val="single" w:color="auto" w:sz="4" w:space="0"/>
            </w:tcBorders>
            <w:vAlign w:val="center"/>
          </w:tcPr>
          <w:p w14:paraId="7F016BAC">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748CA6A8">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52E280ED">
            <w:pPr>
              <w:rPr>
                <w:rFonts w:ascii="Times New Roman" w:hAnsi="Times New Roman"/>
                <w:szCs w:val="24"/>
                <w:highlight w:val="none"/>
              </w:rPr>
            </w:pPr>
          </w:p>
        </w:tc>
      </w:tr>
      <w:tr w14:paraId="498E3101">
        <w:tblPrEx>
          <w:tblCellMar>
            <w:top w:w="0" w:type="dxa"/>
            <w:left w:w="0" w:type="dxa"/>
            <w:bottom w:w="0" w:type="dxa"/>
            <w:right w:w="0" w:type="dxa"/>
          </w:tblCellMar>
        </w:tblPrEx>
        <w:trPr>
          <w:trHeight w:val="756" w:hRule="atLeast"/>
          <w:jc w:val="center"/>
        </w:trPr>
        <w:tc>
          <w:tcPr>
            <w:tcW w:w="1398" w:type="dxa"/>
            <w:vMerge w:val="continue"/>
            <w:tcBorders>
              <w:top w:val="single" w:color="auto" w:sz="4" w:space="0"/>
              <w:left w:val="single" w:color="auto" w:sz="4" w:space="0"/>
              <w:right w:val="single" w:color="auto" w:sz="4" w:space="0"/>
            </w:tcBorders>
            <w:vAlign w:val="center"/>
          </w:tcPr>
          <w:p w14:paraId="2EFEC714">
            <w:pPr>
              <w:jc w:val="center"/>
              <w:rPr>
                <w:rFonts w:hint="eastAsia"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7F280CE0">
            <w:pPr>
              <w:jc w:val="center"/>
              <w:rPr>
                <w:rFonts w:hint="eastAsia"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2</w:t>
            </w:r>
          </w:p>
        </w:tc>
        <w:tc>
          <w:tcPr>
            <w:tcW w:w="5934" w:type="dxa"/>
            <w:tcBorders>
              <w:top w:val="single" w:color="auto" w:sz="4" w:space="0"/>
              <w:left w:val="nil"/>
              <w:bottom w:val="single" w:color="auto" w:sz="4" w:space="0"/>
              <w:right w:val="single" w:color="auto" w:sz="4" w:space="0"/>
            </w:tcBorders>
            <w:vAlign w:val="center"/>
          </w:tcPr>
          <w:p w14:paraId="3E82D992">
            <w:pPr>
              <w:spacing w:line="320" w:lineRule="exact"/>
              <w:rPr>
                <w:rFonts w:hint="eastAsia" w:ascii="Times New Roman" w:hAnsi="Times New Roman"/>
                <w:szCs w:val="24"/>
                <w:highlight w:val="none"/>
                <w:lang w:val="zh-CN"/>
              </w:rPr>
            </w:pPr>
            <w:r>
              <w:rPr>
                <w:rFonts w:hint="eastAsia" w:ascii="Times New Roman" w:hAnsi="Times New Roman"/>
                <w:szCs w:val="24"/>
                <w:highlight w:val="none"/>
                <w:lang w:val="zh-CN"/>
              </w:rPr>
              <w:t>报价下浮率在规定范围内（固定报价、激励费用报价下浮率相等且不为负数）且符合采购文件要求。</w:t>
            </w:r>
          </w:p>
        </w:tc>
        <w:tc>
          <w:tcPr>
            <w:tcW w:w="760" w:type="dxa"/>
            <w:tcBorders>
              <w:top w:val="single" w:color="auto" w:sz="4" w:space="0"/>
              <w:left w:val="nil"/>
              <w:bottom w:val="single" w:color="auto" w:sz="4" w:space="0"/>
              <w:right w:val="single" w:color="auto" w:sz="4" w:space="0"/>
            </w:tcBorders>
            <w:vAlign w:val="center"/>
          </w:tcPr>
          <w:p w14:paraId="3CE19AF8">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3602E945">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28BBD95B">
            <w:pPr>
              <w:rPr>
                <w:rFonts w:ascii="Times New Roman" w:hAnsi="Times New Roman"/>
                <w:szCs w:val="24"/>
                <w:highlight w:val="none"/>
              </w:rPr>
            </w:pPr>
          </w:p>
        </w:tc>
      </w:tr>
      <w:tr w14:paraId="4F9881F5">
        <w:tblPrEx>
          <w:tblCellMar>
            <w:top w:w="0" w:type="dxa"/>
            <w:left w:w="0" w:type="dxa"/>
            <w:bottom w:w="0" w:type="dxa"/>
            <w:right w:w="0" w:type="dxa"/>
          </w:tblCellMar>
        </w:tblPrEx>
        <w:trPr>
          <w:trHeight w:val="400" w:hRule="atLeast"/>
          <w:jc w:val="center"/>
        </w:trPr>
        <w:tc>
          <w:tcPr>
            <w:tcW w:w="1398" w:type="dxa"/>
            <w:vMerge w:val="continue"/>
            <w:tcBorders>
              <w:left w:val="single" w:color="auto" w:sz="4" w:space="0"/>
              <w:right w:val="single" w:color="auto" w:sz="4" w:space="0"/>
            </w:tcBorders>
            <w:vAlign w:val="center"/>
          </w:tcPr>
          <w:p w14:paraId="7950EA8B">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3042BD13">
            <w:pPr>
              <w:jc w:val="center"/>
              <w:rPr>
                <w:rFonts w:ascii="Times New Roman" w:hAnsi="Times New Roman"/>
                <w:szCs w:val="24"/>
                <w:highlight w:val="none"/>
              </w:rPr>
            </w:pPr>
            <w:r>
              <w:rPr>
                <w:rFonts w:hint="eastAsia" w:ascii="Times New Roman" w:hAnsi="Times New Roman"/>
                <w:szCs w:val="24"/>
                <w:highlight w:val="none"/>
              </w:rPr>
              <w:t>指标</w:t>
            </w:r>
            <w:r>
              <w:rPr>
                <w:rFonts w:ascii="Times New Roman" w:hAnsi="Times New Roman"/>
                <w:szCs w:val="24"/>
                <w:highlight w:val="none"/>
              </w:rPr>
              <w:t>3</w:t>
            </w:r>
          </w:p>
        </w:tc>
        <w:tc>
          <w:tcPr>
            <w:tcW w:w="5934" w:type="dxa"/>
            <w:tcBorders>
              <w:top w:val="single" w:color="auto" w:sz="4" w:space="0"/>
              <w:left w:val="nil"/>
              <w:bottom w:val="single" w:color="auto" w:sz="4" w:space="0"/>
              <w:right w:val="single" w:color="auto" w:sz="4" w:space="0"/>
            </w:tcBorders>
            <w:vAlign w:val="center"/>
          </w:tcPr>
          <w:p w14:paraId="0B5C4F02">
            <w:pPr>
              <w:spacing w:line="320" w:lineRule="exact"/>
              <w:rPr>
                <w:rFonts w:ascii="Times New Roman" w:hAnsi="Times New Roman"/>
                <w:szCs w:val="24"/>
                <w:highlight w:val="none"/>
              </w:rPr>
            </w:pPr>
            <w:r>
              <w:rPr>
                <w:rFonts w:hint="eastAsia" w:ascii="Times New Roman" w:hAnsi="Times New Roman"/>
                <w:szCs w:val="24"/>
                <w:highlight w:val="none"/>
                <w:lang w:val="zh-CN"/>
              </w:rPr>
              <w:t>法定代表人本人报名的，须提供法定代表人证明书及法定代表人身份证</w:t>
            </w:r>
            <w:r>
              <w:rPr>
                <w:rFonts w:hint="eastAsia" w:ascii="Times New Roman" w:hAnsi="Times New Roman"/>
                <w:szCs w:val="24"/>
                <w:highlight w:val="none"/>
              </w:rPr>
              <w:t>复印件</w:t>
            </w:r>
            <w:r>
              <w:rPr>
                <w:rFonts w:hint="eastAsia" w:ascii="Times New Roman" w:hAnsi="Times New Roman"/>
                <w:szCs w:val="24"/>
                <w:highlight w:val="none"/>
                <w:lang w:val="zh-CN"/>
              </w:rPr>
              <w:t>；法定代表人委托代理报名的，须提供法定代表人证明书、法定代表人授权委托证明书及被授权代理人的身份证</w:t>
            </w:r>
            <w:r>
              <w:rPr>
                <w:rFonts w:hint="eastAsia" w:ascii="Times New Roman" w:hAnsi="Times New Roman"/>
                <w:szCs w:val="24"/>
                <w:highlight w:val="none"/>
              </w:rPr>
              <w:t>复印件</w:t>
            </w:r>
            <w:r>
              <w:rPr>
                <w:rFonts w:hint="eastAsia" w:ascii="Times New Roman" w:hAnsi="Times New Roman"/>
                <w:szCs w:val="24"/>
                <w:highlight w:val="none"/>
                <w:lang w:val="zh-CN"/>
              </w:rPr>
              <w:t>。</w:t>
            </w:r>
          </w:p>
        </w:tc>
        <w:tc>
          <w:tcPr>
            <w:tcW w:w="760" w:type="dxa"/>
            <w:tcBorders>
              <w:top w:val="single" w:color="auto" w:sz="4" w:space="0"/>
              <w:left w:val="nil"/>
              <w:bottom w:val="single" w:color="auto" w:sz="4" w:space="0"/>
              <w:right w:val="single" w:color="auto" w:sz="4" w:space="0"/>
            </w:tcBorders>
            <w:vAlign w:val="center"/>
          </w:tcPr>
          <w:p w14:paraId="6F4FAFAE">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5F1389A4">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0B9433EB">
            <w:pPr>
              <w:rPr>
                <w:rFonts w:ascii="Times New Roman" w:hAnsi="Times New Roman"/>
                <w:szCs w:val="24"/>
                <w:highlight w:val="none"/>
              </w:rPr>
            </w:pPr>
          </w:p>
        </w:tc>
      </w:tr>
      <w:tr w14:paraId="243DCCAE">
        <w:tblPrEx>
          <w:tblCellMar>
            <w:top w:w="0" w:type="dxa"/>
            <w:left w:w="0" w:type="dxa"/>
            <w:bottom w:w="0" w:type="dxa"/>
            <w:right w:w="0" w:type="dxa"/>
          </w:tblCellMar>
        </w:tblPrEx>
        <w:trPr>
          <w:trHeight w:val="529" w:hRule="atLeast"/>
          <w:jc w:val="center"/>
        </w:trPr>
        <w:tc>
          <w:tcPr>
            <w:tcW w:w="1398" w:type="dxa"/>
            <w:vMerge w:val="continue"/>
            <w:tcBorders>
              <w:left w:val="single" w:color="auto" w:sz="4" w:space="0"/>
              <w:bottom w:val="single" w:color="auto" w:sz="4" w:space="0"/>
              <w:right w:val="single" w:color="auto" w:sz="4" w:space="0"/>
            </w:tcBorders>
            <w:vAlign w:val="center"/>
          </w:tcPr>
          <w:p w14:paraId="28BE67B3">
            <w:pPr>
              <w:jc w:val="center"/>
              <w:rPr>
                <w:rFonts w:ascii="Times New Roman" w:hAnsi="Times New Roman"/>
                <w:b/>
                <w:szCs w:val="24"/>
                <w:highlight w:val="none"/>
              </w:rPr>
            </w:pPr>
          </w:p>
        </w:tc>
        <w:tc>
          <w:tcPr>
            <w:tcW w:w="895" w:type="dxa"/>
            <w:tcBorders>
              <w:top w:val="single" w:color="auto" w:sz="4" w:space="0"/>
              <w:left w:val="nil"/>
              <w:bottom w:val="single" w:color="auto" w:sz="4" w:space="0"/>
              <w:right w:val="single" w:color="auto" w:sz="4" w:space="0"/>
            </w:tcBorders>
            <w:vAlign w:val="center"/>
          </w:tcPr>
          <w:p w14:paraId="2B9D13BF">
            <w:pPr>
              <w:jc w:val="center"/>
              <w:rPr>
                <w:rFonts w:hint="eastAsia" w:ascii="Times New Roman" w:hAnsi="Times New Roman"/>
                <w:szCs w:val="24"/>
                <w:highlight w:val="none"/>
              </w:rPr>
            </w:pPr>
            <w:r>
              <w:rPr>
                <w:rFonts w:hint="eastAsia" w:ascii="Times New Roman" w:hAnsi="Times New Roman"/>
                <w:szCs w:val="24"/>
                <w:highlight w:val="none"/>
              </w:rPr>
              <w:t>指标4</w:t>
            </w:r>
          </w:p>
        </w:tc>
        <w:tc>
          <w:tcPr>
            <w:tcW w:w="5934" w:type="dxa"/>
            <w:tcBorders>
              <w:top w:val="single" w:color="auto" w:sz="4" w:space="0"/>
              <w:left w:val="nil"/>
              <w:bottom w:val="single" w:color="auto" w:sz="4" w:space="0"/>
              <w:right w:val="single" w:color="auto" w:sz="4" w:space="0"/>
            </w:tcBorders>
            <w:vAlign w:val="center"/>
          </w:tcPr>
          <w:p w14:paraId="440B586F">
            <w:pPr>
              <w:spacing w:line="320" w:lineRule="exact"/>
              <w:rPr>
                <w:rFonts w:ascii="Times New Roman" w:hAnsi="Times New Roman"/>
                <w:szCs w:val="24"/>
                <w:highlight w:val="none"/>
              </w:rPr>
            </w:pPr>
            <w:r>
              <w:rPr>
                <w:rFonts w:hint="eastAsia" w:ascii="Times New Roman" w:hAnsi="Times New Roman"/>
                <w:szCs w:val="24"/>
                <w:highlight w:val="none"/>
                <w:lang w:val="zh-CN"/>
              </w:rPr>
              <w:t>响应文件未附有采购人不能接受的条件。</w:t>
            </w:r>
          </w:p>
        </w:tc>
        <w:tc>
          <w:tcPr>
            <w:tcW w:w="760" w:type="dxa"/>
            <w:tcBorders>
              <w:top w:val="single" w:color="auto" w:sz="4" w:space="0"/>
              <w:left w:val="nil"/>
              <w:bottom w:val="single" w:color="auto" w:sz="4" w:space="0"/>
              <w:right w:val="single" w:color="auto" w:sz="4" w:space="0"/>
            </w:tcBorders>
            <w:vAlign w:val="center"/>
          </w:tcPr>
          <w:p w14:paraId="024C7032">
            <w:pPr>
              <w:rPr>
                <w:rFonts w:ascii="Times New Roman" w:hAnsi="Times New Roman"/>
                <w:szCs w:val="24"/>
                <w:highlight w:val="none"/>
              </w:rPr>
            </w:pPr>
          </w:p>
        </w:tc>
        <w:tc>
          <w:tcPr>
            <w:tcW w:w="674" w:type="dxa"/>
            <w:tcBorders>
              <w:top w:val="single" w:color="auto" w:sz="4" w:space="0"/>
              <w:left w:val="nil"/>
              <w:bottom w:val="single" w:color="auto" w:sz="4" w:space="0"/>
              <w:right w:val="single" w:color="auto" w:sz="4" w:space="0"/>
            </w:tcBorders>
            <w:vAlign w:val="center"/>
          </w:tcPr>
          <w:p w14:paraId="4978E7C9">
            <w:pPr>
              <w:rPr>
                <w:rFonts w:ascii="Times New Roman" w:hAnsi="Times New Roman"/>
                <w:szCs w:val="24"/>
                <w:highlight w:val="none"/>
              </w:rPr>
            </w:pPr>
          </w:p>
        </w:tc>
        <w:tc>
          <w:tcPr>
            <w:tcW w:w="518" w:type="dxa"/>
            <w:tcBorders>
              <w:top w:val="single" w:color="auto" w:sz="4" w:space="0"/>
              <w:left w:val="nil"/>
              <w:bottom w:val="single" w:color="auto" w:sz="4" w:space="0"/>
              <w:right w:val="single" w:color="auto" w:sz="4" w:space="0"/>
            </w:tcBorders>
            <w:vAlign w:val="center"/>
          </w:tcPr>
          <w:p w14:paraId="3E60D7A6">
            <w:pPr>
              <w:rPr>
                <w:rFonts w:ascii="Times New Roman" w:hAnsi="Times New Roman"/>
                <w:szCs w:val="24"/>
                <w:highlight w:val="none"/>
              </w:rPr>
            </w:pPr>
          </w:p>
        </w:tc>
      </w:tr>
    </w:tbl>
    <w:p w14:paraId="71E1ECB9">
      <w:pPr>
        <w:spacing w:line="360" w:lineRule="auto"/>
        <w:rPr>
          <w:rFonts w:ascii="Times New Roman" w:hAnsi="Times New Roman"/>
          <w:b/>
          <w:sz w:val="24"/>
          <w:szCs w:val="24"/>
          <w:highlight w:val="none"/>
        </w:rPr>
      </w:pPr>
      <w:r>
        <w:rPr>
          <w:rFonts w:hint="eastAsia" w:ascii="Times New Roman" w:hAnsi="Times New Roman"/>
          <w:b/>
          <w:sz w:val="24"/>
          <w:szCs w:val="24"/>
          <w:highlight w:val="none"/>
        </w:rPr>
        <w:t>注：</w:t>
      </w:r>
      <w:r>
        <w:rPr>
          <w:rFonts w:ascii="Times New Roman" w:hAnsi="Times New Roman"/>
          <w:b/>
          <w:sz w:val="24"/>
          <w:szCs w:val="24"/>
          <w:highlight w:val="none"/>
        </w:rPr>
        <w:t>1</w:t>
      </w:r>
      <w:r>
        <w:rPr>
          <w:rFonts w:hint="eastAsia" w:ascii="Times New Roman" w:hAnsi="Times New Roman"/>
          <w:b/>
          <w:sz w:val="24"/>
          <w:szCs w:val="24"/>
          <w:highlight w:val="none"/>
        </w:rPr>
        <w:t>.</w:t>
      </w:r>
      <w:r>
        <w:rPr>
          <w:rFonts w:ascii="Times New Roman" w:hAnsi="Times New Roman"/>
          <w:b/>
          <w:sz w:val="24"/>
          <w:szCs w:val="24"/>
          <w:highlight w:val="none"/>
        </w:rPr>
        <w:t>符合要求的打“</w:t>
      </w:r>
      <w:r>
        <w:rPr>
          <w:rFonts w:hint="eastAsia" w:ascii="Times New Roman" w:hAnsi="Times New Roman"/>
          <w:sz w:val="24"/>
          <w:szCs w:val="24"/>
          <w:highlight w:val="none"/>
        </w:rPr>
        <w:t>√</w:t>
      </w:r>
      <w:r>
        <w:rPr>
          <w:rFonts w:hint="eastAsia" w:ascii="Times New Roman" w:hAnsi="Times New Roman"/>
          <w:b/>
          <w:sz w:val="24"/>
          <w:szCs w:val="24"/>
          <w:highlight w:val="none"/>
        </w:rPr>
        <w:t>”，不符合要求的打“×”。</w:t>
      </w:r>
    </w:p>
    <w:p w14:paraId="4EB6E669">
      <w:pPr>
        <w:spacing w:line="360" w:lineRule="auto"/>
        <w:ind w:left="479" w:leftChars="228"/>
        <w:rPr>
          <w:rFonts w:ascii="Times New Roman" w:hAnsi="Times New Roman" w:eastAsia="黑体"/>
          <w:sz w:val="32"/>
          <w:szCs w:val="32"/>
          <w:highlight w:val="none"/>
        </w:rPr>
      </w:pPr>
      <w:r>
        <w:rPr>
          <w:rFonts w:ascii="Times New Roman" w:hAnsi="Times New Roman"/>
          <w:b/>
          <w:sz w:val="24"/>
          <w:szCs w:val="24"/>
          <w:highlight w:val="none"/>
        </w:rPr>
        <w:t>2</w:t>
      </w:r>
      <w:r>
        <w:rPr>
          <w:rFonts w:hint="eastAsia" w:ascii="Times New Roman" w:hAnsi="Times New Roman"/>
          <w:b/>
          <w:sz w:val="24"/>
          <w:szCs w:val="24"/>
          <w:highlight w:val="none"/>
        </w:rPr>
        <w:t>.</w:t>
      </w:r>
      <w:r>
        <w:rPr>
          <w:rFonts w:ascii="Times New Roman" w:hAnsi="Times New Roman"/>
          <w:b/>
          <w:sz w:val="24"/>
          <w:szCs w:val="24"/>
          <w:highlight w:val="none"/>
        </w:rPr>
        <w:t>“结论”一</w:t>
      </w:r>
      <w:r>
        <w:rPr>
          <w:rFonts w:hint="eastAsia" w:ascii="Times New Roman" w:hAnsi="Times New Roman"/>
          <w:b/>
          <w:sz w:val="24"/>
          <w:szCs w:val="24"/>
          <w:highlight w:val="none"/>
        </w:rPr>
        <w:t>栏统一填写“通过”或“不通过”，出现一个“×”的结论为“不通过”。</w:t>
      </w:r>
      <w:r>
        <w:rPr>
          <w:rFonts w:hint="eastAsia" w:ascii="Times New Roman" w:hAnsi="Times New Roman" w:eastAsia="黑体"/>
          <w:sz w:val="32"/>
          <w:szCs w:val="32"/>
          <w:highlight w:val="none"/>
        </w:rPr>
        <w:br w:type="page"/>
      </w:r>
    </w:p>
    <w:p w14:paraId="59B22436">
      <w:pPr>
        <w:spacing w:line="600" w:lineRule="exact"/>
        <w:ind w:right="320"/>
        <w:jc w:val="left"/>
        <w:rPr>
          <w:rFonts w:ascii="Times New Roman" w:hAnsi="Times New Roman" w:eastAsia="黑体"/>
          <w:sz w:val="32"/>
          <w:szCs w:val="32"/>
          <w:highlight w:val="none"/>
        </w:rPr>
        <w:sectPr>
          <w:pgSz w:w="11906" w:h="16838"/>
          <w:pgMar w:top="2098" w:right="1474" w:bottom="1985" w:left="1588" w:header="567" w:footer="1021" w:gutter="0"/>
          <w:pgNumType w:fmt="numberInDash"/>
          <w:cols w:space="720" w:num="1"/>
          <w:docGrid w:type="lines" w:linePitch="314" w:charSpace="0"/>
        </w:sectPr>
      </w:pPr>
    </w:p>
    <w:p w14:paraId="222402D6">
      <w:pPr>
        <w:spacing w:line="600" w:lineRule="exact"/>
        <w:ind w:right="320"/>
        <w:jc w:val="left"/>
        <w:rPr>
          <w:rFonts w:ascii="Times New Roman" w:hAnsi="Times New Roman" w:eastAsia="黑体"/>
          <w:sz w:val="32"/>
          <w:szCs w:val="32"/>
          <w:highlight w:val="none"/>
        </w:rPr>
      </w:pPr>
      <w:r>
        <w:rPr>
          <w:rFonts w:hint="eastAsia" w:ascii="Times New Roman" w:hAnsi="Times New Roman" w:eastAsia="黑体"/>
          <w:sz w:val="32"/>
          <w:szCs w:val="32"/>
          <w:highlight w:val="none"/>
        </w:rPr>
        <w:t>附件2</w:t>
      </w:r>
    </w:p>
    <w:p w14:paraId="77290B55">
      <w:pPr>
        <w:spacing w:line="560" w:lineRule="exact"/>
        <w:jc w:val="center"/>
        <w:rPr>
          <w:rFonts w:ascii="Times New Roman" w:hAnsi="Times New Roman" w:eastAsia="方正小标宋_GBK" w:cs="方正小标宋_GBK"/>
          <w:sz w:val="44"/>
          <w:szCs w:val="44"/>
          <w:highlight w:val="none"/>
        </w:rPr>
      </w:pPr>
      <w:r>
        <w:rPr>
          <w:rFonts w:hint="eastAsia" w:ascii="Times New Roman" w:hAnsi="Times New Roman" w:eastAsia="方正小标宋_GBK" w:cs="方正小标宋_GBK"/>
          <w:sz w:val="44"/>
          <w:szCs w:val="44"/>
          <w:highlight w:val="none"/>
        </w:rPr>
        <w:t>惠阳水厂二期及管网配套工程等3个项目</w:t>
      </w:r>
    </w:p>
    <w:p w14:paraId="5A8D8FB3">
      <w:pPr>
        <w:spacing w:after="157" w:afterLines="50" w:line="560" w:lineRule="exact"/>
        <w:jc w:val="center"/>
        <w:rPr>
          <w:rFonts w:ascii="Times New Roman" w:hAnsi="Times New Roman" w:eastAsia="方正小标宋_GBK" w:cs="方正小标宋_GBK"/>
          <w:sz w:val="32"/>
          <w:szCs w:val="32"/>
          <w:highlight w:val="none"/>
        </w:rPr>
      </w:pPr>
      <w:r>
        <w:rPr>
          <w:rFonts w:hint="eastAsia" w:ascii="Times New Roman" w:hAnsi="Times New Roman" w:eastAsia="方正小标宋_GBK" w:cs="方正小标宋_GBK"/>
          <w:sz w:val="44"/>
          <w:szCs w:val="44"/>
          <w:highlight w:val="none"/>
        </w:rPr>
        <w:t>自查自纠情况专项核查服务报价表</w:t>
      </w:r>
    </w:p>
    <w:tbl>
      <w:tblPr>
        <w:tblStyle w:val="8"/>
        <w:tblW w:w="9294" w:type="dxa"/>
        <w:tblInd w:w="-399" w:type="dxa"/>
        <w:tblLayout w:type="fixed"/>
        <w:tblCellMar>
          <w:top w:w="0" w:type="dxa"/>
          <w:left w:w="108" w:type="dxa"/>
          <w:bottom w:w="0" w:type="dxa"/>
          <w:right w:w="108" w:type="dxa"/>
        </w:tblCellMar>
      </w:tblPr>
      <w:tblGrid>
        <w:gridCol w:w="711"/>
        <w:gridCol w:w="4928"/>
        <w:gridCol w:w="2202"/>
        <w:gridCol w:w="1453"/>
      </w:tblGrid>
      <w:tr w14:paraId="1CFD5300">
        <w:trPr>
          <w:trHeight w:val="1110" w:hRule="atLeast"/>
        </w:trPr>
        <w:tc>
          <w:tcPr>
            <w:tcW w:w="711" w:type="dxa"/>
            <w:tcBorders>
              <w:top w:val="single" w:color="auto" w:sz="4" w:space="0"/>
              <w:left w:val="single" w:color="auto" w:sz="4" w:space="0"/>
              <w:bottom w:val="single" w:color="auto" w:sz="4" w:space="0"/>
              <w:right w:val="single" w:color="auto" w:sz="4" w:space="0"/>
            </w:tcBorders>
            <w:noWrap/>
            <w:vAlign w:val="center"/>
          </w:tcPr>
          <w:p w14:paraId="03CEBC91">
            <w:pPr>
              <w:widowControl/>
              <w:jc w:val="center"/>
              <w:textAlignment w:val="center"/>
              <w:rPr>
                <w:rFonts w:ascii="Times New Roman" w:hAnsi="Times New Roman" w:cs="宋体"/>
                <w:b/>
                <w:bCs/>
                <w:color w:val="000000"/>
                <w:kern w:val="0"/>
                <w:sz w:val="24"/>
                <w:szCs w:val="24"/>
                <w:highlight w:val="none"/>
                <w:lang w:bidi="ar"/>
              </w:rPr>
            </w:pPr>
            <w:r>
              <w:rPr>
                <w:rFonts w:hint="eastAsia" w:ascii="Times New Roman" w:hAnsi="Times New Roman" w:cs="宋体"/>
                <w:b/>
                <w:bCs/>
                <w:color w:val="000000"/>
                <w:kern w:val="0"/>
                <w:sz w:val="24"/>
                <w:szCs w:val="24"/>
                <w:highlight w:val="none"/>
                <w:lang w:bidi="ar"/>
              </w:rPr>
              <w:t>序号</w:t>
            </w:r>
          </w:p>
        </w:tc>
        <w:tc>
          <w:tcPr>
            <w:tcW w:w="4928" w:type="dxa"/>
            <w:tcBorders>
              <w:top w:val="single" w:color="auto" w:sz="4" w:space="0"/>
              <w:left w:val="single" w:color="auto" w:sz="4" w:space="0"/>
              <w:bottom w:val="single" w:color="auto" w:sz="4" w:space="0"/>
              <w:right w:val="single" w:color="auto" w:sz="4" w:space="0"/>
            </w:tcBorders>
            <w:vAlign w:val="center"/>
          </w:tcPr>
          <w:p w14:paraId="2D24C7CA">
            <w:pPr>
              <w:widowControl/>
              <w:jc w:val="center"/>
              <w:textAlignment w:val="center"/>
              <w:rPr>
                <w:rFonts w:ascii="Times New Roman" w:hAnsi="Times New Roman" w:cs="宋体"/>
                <w:b/>
                <w:bCs/>
                <w:color w:val="000000"/>
                <w:sz w:val="24"/>
                <w:szCs w:val="24"/>
                <w:highlight w:val="none"/>
              </w:rPr>
            </w:pPr>
            <w:r>
              <w:rPr>
                <w:rFonts w:hint="eastAsia" w:ascii="Times New Roman" w:hAnsi="Times New Roman" w:cs="宋体"/>
                <w:b/>
                <w:bCs/>
                <w:color w:val="000000"/>
                <w:sz w:val="24"/>
                <w:szCs w:val="24"/>
                <w:highlight w:val="none"/>
              </w:rPr>
              <w:t>项目名称</w:t>
            </w:r>
          </w:p>
        </w:tc>
        <w:tc>
          <w:tcPr>
            <w:tcW w:w="2202" w:type="dxa"/>
            <w:tcBorders>
              <w:top w:val="single" w:color="auto" w:sz="4" w:space="0"/>
              <w:left w:val="single" w:color="auto" w:sz="4" w:space="0"/>
              <w:bottom w:val="single" w:color="auto" w:sz="4" w:space="0"/>
              <w:right w:val="single" w:color="auto" w:sz="4" w:space="0"/>
            </w:tcBorders>
            <w:vAlign w:val="center"/>
          </w:tcPr>
          <w:p w14:paraId="7711644D">
            <w:pPr>
              <w:widowControl/>
              <w:jc w:val="center"/>
              <w:textAlignment w:val="center"/>
              <w:rPr>
                <w:rFonts w:ascii="Times New Roman" w:hAnsi="Times New Roman" w:cs="宋体"/>
                <w:b/>
                <w:bCs/>
                <w:color w:val="000000"/>
                <w:sz w:val="24"/>
                <w:szCs w:val="24"/>
                <w:highlight w:val="none"/>
              </w:rPr>
            </w:pPr>
            <w:r>
              <w:rPr>
                <w:rFonts w:hint="eastAsia" w:ascii="Times New Roman" w:hAnsi="Times New Roman" w:cs="宋体"/>
                <w:b/>
                <w:bCs/>
                <w:color w:val="000000"/>
                <w:sz w:val="24"/>
                <w:szCs w:val="24"/>
                <w:highlight w:val="none"/>
              </w:rPr>
              <w:t>建安费</w:t>
            </w:r>
          </w:p>
        </w:tc>
        <w:tc>
          <w:tcPr>
            <w:tcW w:w="1453" w:type="dxa"/>
            <w:tcBorders>
              <w:top w:val="single" w:color="auto" w:sz="4" w:space="0"/>
              <w:left w:val="single" w:color="auto" w:sz="4" w:space="0"/>
              <w:bottom w:val="single" w:color="auto" w:sz="4" w:space="0"/>
              <w:right w:val="single" w:color="auto" w:sz="4" w:space="0"/>
            </w:tcBorders>
            <w:vAlign w:val="center"/>
          </w:tcPr>
          <w:p w14:paraId="7141C898">
            <w:pPr>
              <w:widowControl/>
              <w:jc w:val="center"/>
              <w:textAlignment w:val="center"/>
              <w:rPr>
                <w:rFonts w:ascii="Times New Roman" w:hAnsi="Times New Roman" w:cs="宋体"/>
                <w:b/>
                <w:bCs/>
                <w:color w:val="000000"/>
                <w:sz w:val="24"/>
                <w:szCs w:val="24"/>
                <w:highlight w:val="none"/>
              </w:rPr>
            </w:pPr>
            <w:r>
              <w:rPr>
                <w:rFonts w:hint="eastAsia" w:ascii="Times New Roman" w:hAnsi="Times New Roman" w:cs="宋体"/>
                <w:b/>
                <w:bCs/>
                <w:color w:val="000000"/>
                <w:sz w:val="24"/>
                <w:szCs w:val="24"/>
                <w:highlight w:val="none"/>
              </w:rPr>
              <w:t>固定报价及激励费用</w:t>
            </w:r>
          </w:p>
          <w:p w14:paraId="03B95B58">
            <w:pPr>
              <w:widowControl/>
              <w:jc w:val="center"/>
              <w:textAlignment w:val="center"/>
              <w:rPr>
                <w:rFonts w:ascii="Times New Roman" w:hAnsi="Times New Roman" w:cs="宋体"/>
                <w:b/>
                <w:bCs/>
                <w:color w:val="000000"/>
                <w:sz w:val="24"/>
                <w:szCs w:val="24"/>
                <w:highlight w:val="none"/>
              </w:rPr>
            </w:pPr>
            <w:r>
              <w:rPr>
                <w:rFonts w:hint="eastAsia" w:ascii="Times New Roman" w:hAnsi="Times New Roman" w:cs="宋体"/>
                <w:b/>
                <w:bCs/>
                <w:color w:val="000000"/>
                <w:sz w:val="24"/>
                <w:szCs w:val="24"/>
                <w:highlight w:val="none"/>
              </w:rPr>
              <w:t>下浮率</w:t>
            </w:r>
          </w:p>
        </w:tc>
      </w:tr>
      <w:tr w14:paraId="21BCA233">
        <w:tblPrEx>
          <w:tblCellMar>
            <w:top w:w="0" w:type="dxa"/>
            <w:left w:w="108" w:type="dxa"/>
            <w:bottom w:w="0" w:type="dxa"/>
            <w:right w:w="108" w:type="dxa"/>
          </w:tblCellMar>
        </w:tblPrEx>
        <w:trPr>
          <w:trHeight w:val="1229" w:hRule="atLeast"/>
        </w:trPr>
        <w:tc>
          <w:tcPr>
            <w:tcW w:w="711" w:type="dxa"/>
            <w:tcBorders>
              <w:top w:val="single" w:color="auto" w:sz="4" w:space="0"/>
              <w:left w:val="single" w:color="auto" w:sz="4" w:space="0"/>
              <w:bottom w:val="single" w:color="auto" w:sz="4" w:space="0"/>
              <w:right w:val="single" w:color="auto" w:sz="4" w:space="0"/>
            </w:tcBorders>
            <w:noWrap/>
            <w:vAlign w:val="center"/>
          </w:tcPr>
          <w:p w14:paraId="3D65EC16">
            <w:pPr>
              <w:widowControl/>
              <w:jc w:val="center"/>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1</w:t>
            </w:r>
          </w:p>
        </w:tc>
        <w:tc>
          <w:tcPr>
            <w:tcW w:w="4928" w:type="dxa"/>
            <w:tcBorders>
              <w:top w:val="single" w:color="auto" w:sz="4" w:space="0"/>
              <w:left w:val="nil"/>
              <w:bottom w:val="single" w:color="auto" w:sz="4" w:space="0"/>
              <w:right w:val="single" w:color="auto" w:sz="4" w:space="0"/>
            </w:tcBorders>
            <w:vAlign w:val="center"/>
          </w:tcPr>
          <w:p w14:paraId="0A1ECD9B">
            <w:pPr>
              <w:widowControl/>
              <w:jc w:val="left"/>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惠阳水厂二期及管网配套工程</w:t>
            </w:r>
          </w:p>
        </w:tc>
        <w:tc>
          <w:tcPr>
            <w:tcW w:w="2202" w:type="dxa"/>
            <w:vMerge w:val="restart"/>
            <w:tcBorders>
              <w:top w:val="single" w:color="auto" w:sz="4" w:space="0"/>
              <w:left w:val="nil"/>
              <w:right w:val="single" w:color="auto" w:sz="4" w:space="0"/>
            </w:tcBorders>
            <w:vAlign w:val="center"/>
          </w:tcPr>
          <w:p w14:paraId="5AC25CF8">
            <w:pPr>
              <w:widowControl/>
              <w:jc w:val="center"/>
              <w:textAlignment w:val="center"/>
              <w:rPr>
                <w:rFonts w:ascii="Times New Roman" w:hAnsi="Times New Roman" w:cs="宋体"/>
                <w:color w:val="000000"/>
                <w:sz w:val="20"/>
                <w:szCs w:val="20"/>
                <w:highlight w:val="none"/>
              </w:rPr>
            </w:pPr>
            <w:r>
              <w:rPr>
                <w:rFonts w:hint="eastAsia" w:ascii="Times New Roman" w:hAnsi="Times New Roman" w:eastAsia="仿宋_GB2312"/>
                <w:sz w:val="28"/>
                <w:szCs w:val="28"/>
                <w:highlight w:val="none"/>
              </w:rPr>
              <w:t>847110300.00元</w:t>
            </w:r>
          </w:p>
        </w:tc>
        <w:tc>
          <w:tcPr>
            <w:tcW w:w="1453" w:type="dxa"/>
            <w:vMerge w:val="restart"/>
            <w:tcBorders>
              <w:top w:val="single" w:color="auto" w:sz="4" w:space="0"/>
              <w:left w:val="nil"/>
              <w:right w:val="single" w:color="auto" w:sz="4" w:space="0"/>
            </w:tcBorders>
            <w:vAlign w:val="center"/>
          </w:tcPr>
          <w:p w14:paraId="6D756FA1">
            <w:pPr>
              <w:widowControl/>
              <w:jc w:val="right"/>
              <w:textAlignment w:val="center"/>
              <w:rPr>
                <w:rFonts w:ascii="Times New Roman" w:hAnsi="Times New Roman" w:eastAsia="仿宋_GB2312"/>
                <w:sz w:val="28"/>
                <w:szCs w:val="28"/>
                <w:highlight w:val="none"/>
              </w:rPr>
            </w:pPr>
            <w:r>
              <w:rPr>
                <w:rFonts w:hint="eastAsia" w:ascii="Times New Roman" w:hAnsi="Times New Roman" w:eastAsia="仿宋_GB2312"/>
                <w:sz w:val="28"/>
                <w:szCs w:val="28"/>
                <w:highlight w:val="none"/>
              </w:rPr>
              <w:t>%</w:t>
            </w:r>
          </w:p>
        </w:tc>
      </w:tr>
      <w:tr w14:paraId="140BF8BF">
        <w:tblPrEx>
          <w:tblCellMar>
            <w:top w:w="0" w:type="dxa"/>
            <w:left w:w="108" w:type="dxa"/>
            <w:bottom w:w="0" w:type="dxa"/>
            <w:right w:w="108" w:type="dxa"/>
          </w:tblCellMar>
        </w:tblPrEx>
        <w:trPr>
          <w:trHeight w:val="1035" w:hRule="atLeast"/>
        </w:trPr>
        <w:tc>
          <w:tcPr>
            <w:tcW w:w="711" w:type="dxa"/>
            <w:tcBorders>
              <w:top w:val="nil"/>
              <w:left w:val="single" w:color="auto" w:sz="4" w:space="0"/>
              <w:bottom w:val="single" w:color="auto" w:sz="4" w:space="0"/>
              <w:right w:val="single" w:color="auto" w:sz="4" w:space="0"/>
            </w:tcBorders>
            <w:noWrap/>
            <w:vAlign w:val="center"/>
          </w:tcPr>
          <w:p w14:paraId="5CA75046">
            <w:pPr>
              <w:widowControl/>
              <w:jc w:val="center"/>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w:t>
            </w:r>
          </w:p>
        </w:tc>
        <w:tc>
          <w:tcPr>
            <w:tcW w:w="4928" w:type="dxa"/>
            <w:tcBorders>
              <w:top w:val="nil"/>
              <w:left w:val="nil"/>
              <w:bottom w:val="single" w:color="auto" w:sz="4" w:space="0"/>
              <w:right w:val="single" w:color="auto" w:sz="4" w:space="0"/>
            </w:tcBorders>
            <w:vAlign w:val="center"/>
          </w:tcPr>
          <w:p w14:paraId="19BF6DCA">
            <w:pPr>
              <w:widowControl/>
              <w:jc w:val="left"/>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惠州市供水调度中心工程</w:t>
            </w:r>
          </w:p>
        </w:tc>
        <w:tc>
          <w:tcPr>
            <w:tcW w:w="2202" w:type="dxa"/>
            <w:vMerge w:val="continue"/>
            <w:tcBorders>
              <w:left w:val="nil"/>
              <w:right w:val="single" w:color="auto" w:sz="4" w:space="0"/>
            </w:tcBorders>
            <w:vAlign w:val="center"/>
          </w:tcPr>
          <w:p w14:paraId="5FE3A87C">
            <w:pPr>
              <w:widowControl/>
              <w:jc w:val="center"/>
              <w:textAlignment w:val="center"/>
              <w:rPr>
                <w:rFonts w:ascii="Times New Roman" w:hAnsi="Times New Roman" w:cs="宋体"/>
                <w:color w:val="000000"/>
                <w:szCs w:val="21"/>
                <w:highlight w:val="none"/>
              </w:rPr>
            </w:pPr>
          </w:p>
        </w:tc>
        <w:tc>
          <w:tcPr>
            <w:tcW w:w="1453" w:type="dxa"/>
            <w:vMerge w:val="continue"/>
            <w:tcBorders>
              <w:left w:val="nil"/>
              <w:right w:val="single" w:color="auto" w:sz="4" w:space="0"/>
            </w:tcBorders>
            <w:vAlign w:val="center"/>
          </w:tcPr>
          <w:p w14:paraId="3BC38F8A">
            <w:pPr>
              <w:widowControl/>
              <w:jc w:val="right"/>
              <w:textAlignment w:val="center"/>
              <w:rPr>
                <w:rFonts w:ascii="Times New Roman" w:hAnsi="Times New Roman" w:cs="宋体"/>
                <w:color w:val="000000"/>
                <w:szCs w:val="21"/>
                <w:highlight w:val="none"/>
              </w:rPr>
            </w:pPr>
          </w:p>
        </w:tc>
      </w:tr>
      <w:tr w14:paraId="2182AA1F">
        <w:tblPrEx>
          <w:tblCellMar>
            <w:top w:w="0" w:type="dxa"/>
            <w:left w:w="108" w:type="dxa"/>
            <w:bottom w:w="0" w:type="dxa"/>
            <w:right w:w="108" w:type="dxa"/>
          </w:tblCellMar>
        </w:tblPrEx>
        <w:trPr>
          <w:trHeight w:val="1554" w:hRule="atLeast"/>
        </w:trPr>
        <w:tc>
          <w:tcPr>
            <w:tcW w:w="711" w:type="dxa"/>
            <w:tcBorders>
              <w:top w:val="nil"/>
              <w:left w:val="single" w:color="auto" w:sz="4" w:space="0"/>
              <w:bottom w:val="single" w:color="auto" w:sz="4" w:space="0"/>
              <w:right w:val="single" w:color="auto" w:sz="4" w:space="0"/>
            </w:tcBorders>
            <w:noWrap/>
            <w:vAlign w:val="center"/>
          </w:tcPr>
          <w:p w14:paraId="2A527B80">
            <w:pPr>
              <w:widowControl/>
              <w:jc w:val="center"/>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3</w:t>
            </w:r>
          </w:p>
        </w:tc>
        <w:tc>
          <w:tcPr>
            <w:tcW w:w="4928" w:type="dxa"/>
            <w:tcBorders>
              <w:top w:val="nil"/>
              <w:left w:val="nil"/>
              <w:bottom w:val="single" w:color="auto" w:sz="4" w:space="0"/>
              <w:right w:val="single" w:color="auto" w:sz="4" w:space="0"/>
            </w:tcBorders>
            <w:vAlign w:val="center"/>
          </w:tcPr>
          <w:p w14:paraId="3958953F">
            <w:pPr>
              <w:widowControl/>
              <w:jc w:val="left"/>
              <w:textAlignment w:val="center"/>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金山新城明德路、体育南路等5条配套市政道路工程</w:t>
            </w:r>
          </w:p>
        </w:tc>
        <w:tc>
          <w:tcPr>
            <w:tcW w:w="2202" w:type="dxa"/>
            <w:vMerge w:val="continue"/>
            <w:tcBorders>
              <w:left w:val="nil"/>
              <w:bottom w:val="single" w:color="auto" w:sz="4" w:space="0"/>
              <w:right w:val="single" w:color="auto" w:sz="4" w:space="0"/>
            </w:tcBorders>
            <w:vAlign w:val="center"/>
          </w:tcPr>
          <w:p w14:paraId="16627120">
            <w:pPr>
              <w:widowControl/>
              <w:jc w:val="center"/>
              <w:textAlignment w:val="center"/>
              <w:rPr>
                <w:rFonts w:ascii="Times New Roman" w:hAnsi="Times New Roman" w:cs="宋体"/>
                <w:color w:val="000000"/>
                <w:szCs w:val="21"/>
                <w:highlight w:val="none"/>
              </w:rPr>
            </w:pPr>
          </w:p>
        </w:tc>
        <w:tc>
          <w:tcPr>
            <w:tcW w:w="1453" w:type="dxa"/>
            <w:vMerge w:val="continue"/>
            <w:tcBorders>
              <w:left w:val="nil"/>
              <w:bottom w:val="single" w:color="auto" w:sz="4" w:space="0"/>
              <w:right w:val="single" w:color="auto" w:sz="4" w:space="0"/>
            </w:tcBorders>
            <w:vAlign w:val="center"/>
          </w:tcPr>
          <w:p w14:paraId="599A86EE">
            <w:pPr>
              <w:widowControl/>
              <w:jc w:val="right"/>
              <w:textAlignment w:val="center"/>
              <w:rPr>
                <w:rFonts w:ascii="Times New Roman" w:hAnsi="Times New Roman" w:cs="宋体"/>
                <w:color w:val="000000"/>
                <w:szCs w:val="21"/>
                <w:highlight w:val="none"/>
              </w:rPr>
            </w:pPr>
          </w:p>
        </w:tc>
      </w:tr>
    </w:tbl>
    <w:p w14:paraId="206EB888">
      <w:pPr>
        <w:pStyle w:val="4"/>
        <w:spacing w:line="500" w:lineRule="exact"/>
        <w:rPr>
          <w:rFonts w:ascii="Times New Roman" w:hAnsi="Times New Roman" w:eastAsia="黑体" w:cs="黑体"/>
          <w:sz w:val="24"/>
          <w:szCs w:val="32"/>
          <w:highlight w:val="none"/>
        </w:rPr>
      </w:pPr>
    </w:p>
    <w:p w14:paraId="174D0AC2">
      <w:pPr>
        <w:pStyle w:val="4"/>
        <w:spacing w:line="540" w:lineRule="exact"/>
        <w:rPr>
          <w:rFonts w:ascii="Times New Roman" w:hAnsi="Times New Roman" w:eastAsia="仿宋"/>
          <w:sz w:val="32"/>
          <w:szCs w:val="40"/>
          <w:highlight w:val="none"/>
        </w:rPr>
      </w:pPr>
      <w:r>
        <w:rPr>
          <w:rFonts w:ascii="Times New Roman" w:hAnsi="Times New Roman" w:eastAsia="仿宋"/>
          <w:sz w:val="32"/>
          <w:szCs w:val="40"/>
          <w:highlight w:val="none"/>
        </w:rPr>
        <w:t>联系人：</w:t>
      </w:r>
      <w:r>
        <w:rPr>
          <w:rFonts w:hint="eastAsia" w:ascii="Times New Roman" w:hAnsi="Times New Roman" w:eastAsia="仿宋"/>
          <w:sz w:val="32"/>
          <w:szCs w:val="40"/>
          <w:highlight w:val="none"/>
        </w:rPr>
        <w:t xml:space="preserve">                   </w:t>
      </w:r>
      <w:r>
        <w:rPr>
          <w:rFonts w:ascii="Times New Roman" w:hAnsi="Times New Roman" w:eastAsia="仿宋"/>
          <w:sz w:val="32"/>
          <w:szCs w:val="40"/>
          <w:highlight w:val="none"/>
        </w:rPr>
        <w:t>联系电话：</w:t>
      </w:r>
      <w:r>
        <w:rPr>
          <w:rFonts w:hint="eastAsia" w:ascii="Times New Roman" w:hAnsi="Times New Roman" w:eastAsia="仿宋"/>
          <w:sz w:val="32"/>
          <w:szCs w:val="40"/>
          <w:highlight w:val="none"/>
        </w:rPr>
        <w:t xml:space="preserve">                </w:t>
      </w:r>
    </w:p>
    <w:p w14:paraId="52AA0C20">
      <w:pPr>
        <w:pStyle w:val="4"/>
        <w:spacing w:line="540" w:lineRule="exact"/>
        <w:rPr>
          <w:rFonts w:ascii="Times New Roman" w:hAnsi="Times New Roman" w:eastAsia="仿宋"/>
          <w:sz w:val="32"/>
          <w:szCs w:val="40"/>
          <w:highlight w:val="none"/>
        </w:rPr>
      </w:pPr>
      <w:r>
        <w:rPr>
          <w:rFonts w:hint="eastAsia" w:ascii="Times New Roman" w:hAnsi="Times New Roman" w:eastAsia="仿宋"/>
          <w:sz w:val="32"/>
          <w:szCs w:val="40"/>
          <w:highlight w:val="none"/>
        </w:rPr>
        <w:t>供应商（盖章）：</w:t>
      </w:r>
    </w:p>
    <w:p w14:paraId="0AECB94B">
      <w:pPr>
        <w:pStyle w:val="4"/>
        <w:spacing w:line="540" w:lineRule="exact"/>
        <w:ind w:firstLine="5760" w:firstLineChars="1800"/>
        <w:jc w:val="right"/>
        <w:rPr>
          <w:rFonts w:ascii="Times New Roman" w:hAnsi="Times New Roman" w:eastAsia="仿宋"/>
          <w:sz w:val="32"/>
          <w:szCs w:val="40"/>
          <w:highlight w:val="none"/>
        </w:rPr>
      </w:pPr>
      <w:r>
        <w:rPr>
          <w:rFonts w:hint="eastAsia" w:ascii="Times New Roman" w:hAnsi="Times New Roman" w:eastAsia="仿宋"/>
          <w:sz w:val="32"/>
          <w:szCs w:val="40"/>
          <w:highlight w:val="none"/>
        </w:rPr>
        <w:t xml:space="preserve">                                 </w:t>
      </w:r>
    </w:p>
    <w:p w14:paraId="60D011A9">
      <w:pPr>
        <w:pStyle w:val="4"/>
        <w:spacing w:line="540" w:lineRule="exact"/>
        <w:ind w:firstLine="5760" w:firstLineChars="1800"/>
        <w:jc w:val="right"/>
        <w:rPr>
          <w:rFonts w:ascii="Times New Roman" w:hAnsi="Times New Roman" w:eastAsia="仿宋"/>
          <w:sz w:val="32"/>
          <w:szCs w:val="40"/>
          <w:highlight w:val="none"/>
        </w:rPr>
      </w:pPr>
    </w:p>
    <w:p w14:paraId="60A015D8">
      <w:pPr>
        <w:pStyle w:val="4"/>
        <w:spacing w:line="540" w:lineRule="exact"/>
        <w:ind w:firstLine="5760" w:firstLineChars="1800"/>
        <w:jc w:val="right"/>
        <w:rPr>
          <w:rFonts w:ascii="Times New Roman" w:hAnsi="Times New Roman" w:eastAsia="仿宋"/>
          <w:sz w:val="32"/>
          <w:szCs w:val="40"/>
          <w:highlight w:val="none"/>
        </w:rPr>
      </w:pPr>
      <w:r>
        <w:rPr>
          <w:rFonts w:hint="eastAsia" w:ascii="Times New Roman" w:hAnsi="Times New Roman" w:eastAsia="仿宋"/>
          <w:sz w:val="32"/>
          <w:szCs w:val="40"/>
          <w:highlight w:val="none"/>
        </w:rPr>
        <w:t>年  月  日</w:t>
      </w:r>
    </w:p>
    <w:p w14:paraId="7872E0B9">
      <w:pPr>
        <w:rPr>
          <w:rFonts w:ascii="Times New Roman" w:hAnsi="Times New Roman" w:eastAsia="仿宋"/>
          <w:sz w:val="32"/>
          <w:szCs w:val="40"/>
          <w:highlight w:val="none"/>
        </w:rPr>
      </w:pPr>
      <w:r>
        <w:rPr>
          <w:rFonts w:hint="eastAsia" w:ascii="Times New Roman" w:hAnsi="Times New Roman" w:eastAsia="仿宋"/>
          <w:sz w:val="32"/>
          <w:szCs w:val="40"/>
          <w:highlight w:val="none"/>
        </w:rPr>
        <w:br w:type="page"/>
      </w:r>
    </w:p>
    <w:p w14:paraId="6A241091">
      <w:pPr>
        <w:spacing w:line="600" w:lineRule="exact"/>
        <w:ind w:right="320"/>
        <w:jc w:val="left"/>
        <w:rPr>
          <w:rFonts w:ascii="Times New Roman" w:hAnsi="Times New Roman" w:eastAsia="黑体"/>
          <w:sz w:val="32"/>
          <w:szCs w:val="32"/>
          <w:highlight w:val="none"/>
        </w:rPr>
        <w:sectPr>
          <w:pgSz w:w="11906" w:h="16838"/>
          <w:pgMar w:top="2098" w:right="1474" w:bottom="1985" w:left="1587" w:header="567" w:footer="1020" w:gutter="0"/>
          <w:pgNumType w:fmt="numberInDash"/>
          <w:cols w:space="0" w:num="1"/>
          <w:docGrid w:type="lines" w:linePitch="315" w:charSpace="0"/>
        </w:sectPr>
      </w:pPr>
    </w:p>
    <w:p w14:paraId="049C7228">
      <w:pPr>
        <w:spacing w:line="600" w:lineRule="exact"/>
        <w:ind w:right="320"/>
        <w:jc w:val="left"/>
        <w:rPr>
          <w:rFonts w:ascii="Times New Roman" w:hAnsi="Times New Roman" w:eastAsia="黑体"/>
          <w:sz w:val="32"/>
          <w:szCs w:val="32"/>
          <w:highlight w:val="none"/>
        </w:rPr>
      </w:pPr>
      <w:r>
        <w:rPr>
          <w:rFonts w:hint="eastAsia" w:ascii="Times New Roman" w:hAnsi="Times New Roman" w:eastAsia="黑体"/>
          <w:sz w:val="32"/>
          <w:szCs w:val="32"/>
          <w:highlight w:val="none"/>
        </w:rPr>
        <w:t>附件3</w:t>
      </w:r>
    </w:p>
    <w:p w14:paraId="00D41618">
      <w:pPr>
        <w:autoSpaceDE w:val="0"/>
        <w:autoSpaceDN w:val="0"/>
        <w:adjustRightInd w:val="0"/>
        <w:spacing w:line="560" w:lineRule="exact"/>
        <w:jc w:val="center"/>
        <w:rPr>
          <w:rFonts w:ascii="Times New Roman" w:hAnsi="Times New Roman" w:cs="仿宋_GB2312"/>
          <w:sz w:val="32"/>
          <w:szCs w:val="32"/>
          <w:highlight w:val="none"/>
        </w:rPr>
      </w:pPr>
      <w:r>
        <w:rPr>
          <w:rFonts w:hint="eastAsia" w:ascii="Times New Roman" w:hAnsi="Times New Roman" w:eastAsia="方正小标宋_GBK" w:cs="方正小标宋_GBK"/>
          <w:bCs/>
          <w:kern w:val="0"/>
          <w:sz w:val="44"/>
          <w:szCs w:val="44"/>
          <w:highlight w:val="none"/>
        </w:rPr>
        <w:t>承 诺 书</w:t>
      </w:r>
    </w:p>
    <w:p w14:paraId="6360349D">
      <w:pPr>
        <w:pStyle w:val="5"/>
        <w:spacing w:line="578" w:lineRule="exact"/>
        <w:ind w:right="-91" w:firstLine="0" w:firstLineChars="0"/>
        <w:jc w:val="left"/>
        <w:rPr>
          <w:rFonts w:ascii="Times New Roman" w:hAnsi="Times New Roman" w:cs="仿宋_GB2312"/>
          <w:sz w:val="32"/>
          <w:szCs w:val="32"/>
          <w:highlight w:val="none"/>
        </w:rPr>
      </w:pPr>
      <w:r>
        <w:rPr>
          <w:rFonts w:hint="eastAsia" w:ascii="Times New Roman" w:hAnsi="Times New Roman" w:cs="仿宋_GB2312"/>
          <w:sz w:val="32"/>
          <w:szCs w:val="32"/>
          <w:highlight w:val="none"/>
        </w:rPr>
        <w:t>惠州市水务集团有限公司：</w:t>
      </w:r>
    </w:p>
    <w:p w14:paraId="7CCF5714">
      <w:pPr>
        <w:pStyle w:val="5"/>
        <w:spacing w:line="578" w:lineRule="exact"/>
        <w:ind w:right="-91" w:firstLine="640" w:firstLineChars="200"/>
        <w:jc w:val="left"/>
        <w:rPr>
          <w:rFonts w:ascii="Times New Roman" w:hAnsi="Times New Roman" w:cs="仿宋_GB2312"/>
          <w:sz w:val="32"/>
          <w:szCs w:val="32"/>
          <w:highlight w:val="none"/>
        </w:rPr>
      </w:pPr>
      <w:r>
        <w:rPr>
          <w:rFonts w:hint="eastAsia" w:ascii="Times New Roman" w:hAnsi="Times New Roman" w:cs="仿宋_GB2312"/>
          <w:sz w:val="32"/>
          <w:szCs w:val="32"/>
          <w:highlight w:val="none"/>
        </w:rPr>
        <w:t>我司已详细阅读了关于惠阳水厂二期及管网配套工程等3个项目自查自纠专项核查服务的采购询价函，自愿参加上述项目报价，现就有关事项向贵司郑重承诺如下：</w:t>
      </w:r>
    </w:p>
    <w:p w14:paraId="394CA316">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1、遵守中华人民共和国、广东省、惠州市有关招标投标的法律法规规定，自觉维护市场秩序。</w:t>
      </w:r>
    </w:p>
    <w:p w14:paraId="4C19508B">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2、接受询价邀请及采购文件的全部内容。</w:t>
      </w:r>
    </w:p>
    <w:p w14:paraId="0233BE44">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3、保证所提供资料内容无任何虚假。若查出有虚假，同意作无效报价处理；若中选之后查出有虚假，同意废除中选资格。</w:t>
      </w:r>
    </w:p>
    <w:p w14:paraId="1616DB0C">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4、保证不存在低于成本的恶意报价行为。</w:t>
      </w:r>
    </w:p>
    <w:p w14:paraId="05DE1283">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5、保证中选后按双方签订的合同约定完成合同范围内的全部内容，并密切配合委托方开展工作。</w:t>
      </w:r>
    </w:p>
    <w:p w14:paraId="3378EA15">
      <w:pPr>
        <w:spacing w:line="578" w:lineRule="exact"/>
        <w:ind w:firstLine="640" w:firstLineChars="200"/>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6、保证按合同约定的原则处理服务费调整事宜，不发生签署合同之后恶意提高费用的行为。</w:t>
      </w:r>
    </w:p>
    <w:p w14:paraId="40B8EDD6">
      <w:pPr>
        <w:pStyle w:val="2"/>
        <w:spacing w:line="578" w:lineRule="exact"/>
        <w:ind w:firstLine="640" w:firstLineChars="200"/>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7、保证一旦中选，接受委托方相关管理及考评。</w:t>
      </w:r>
    </w:p>
    <w:p w14:paraId="11890C27">
      <w:pPr>
        <w:spacing w:line="578" w:lineRule="exact"/>
        <w:ind w:right="-89" w:firstLine="800" w:firstLineChars="250"/>
        <w:jc w:val="left"/>
        <w:rPr>
          <w:rFonts w:ascii="Times New Roman" w:hAnsi="Times New Roman" w:eastAsia="仿宋_GB2312" w:cs="仿宋_GB2312"/>
          <w:sz w:val="32"/>
          <w:szCs w:val="32"/>
          <w:highlight w:val="none"/>
        </w:rPr>
      </w:pPr>
    </w:p>
    <w:p w14:paraId="51A3ECBD">
      <w:pPr>
        <w:spacing w:line="578" w:lineRule="exact"/>
        <w:jc w:val="left"/>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                          供应商（公章）：</w:t>
      </w:r>
    </w:p>
    <w:p w14:paraId="18BDEDD2">
      <w:pPr>
        <w:spacing w:line="578" w:lineRule="exact"/>
        <w:jc w:val="left"/>
        <w:rPr>
          <w:rFonts w:ascii="Times New Roman" w:hAnsi="Times New Roman" w:eastAsia="仿宋"/>
          <w:sz w:val="32"/>
          <w:szCs w:val="40"/>
          <w:highlight w:val="none"/>
        </w:rPr>
      </w:pPr>
      <w:r>
        <w:rPr>
          <w:rFonts w:hint="eastAsia" w:ascii="Times New Roman" w:hAnsi="Times New Roman" w:eastAsia="仿宋_GB2312" w:cs="仿宋_GB2312"/>
          <w:sz w:val="32"/>
          <w:szCs w:val="32"/>
          <w:highlight w:val="none"/>
        </w:rPr>
        <w:t xml:space="preserve">                             </w:t>
      </w:r>
      <w:r>
        <w:rPr>
          <w:rFonts w:ascii="Times New Roman" w:hAnsi="Times New Roman" w:eastAsia="仿宋_GB2312" w:cs="仿宋_GB2312"/>
          <w:sz w:val="32"/>
          <w:szCs w:val="32"/>
          <w:highlight w:val="none"/>
        </w:rPr>
        <w:t xml:space="preserve">   </w:t>
      </w:r>
      <w:r>
        <w:rPr>
          <w:rFonts w:hint="eastAsia" w:ascii="Times New Roman" w:hAnsi="Times New Roman" w:eastAsia="仿宋_GB2312" w:cs="仿宋_GB2312"/>
          <w:sz w:val="32"/>
          <w:szCs w:val="32"/>
          <w:highlight w:val="none"/>
        </w:rPr>
        <w:t>二Ｏ二五年  月   日</w:t>
      </w:r>
    </w:p>
    <w:sectPr>
      <w:pgSz w:w="11906" w:h="16838"/>
      <w:pgMar w:top="2098" w:right="1474" w:bottom="1984" w:left="1587" w:header="567" w:footer="1020" w:gutter="0"/>
      <w:pgNumType w:fmt="numberInDash"/>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A3B61">
    <w:pPr>
      <w:pStyle w:val="6"/>
      <w:ind w:left="210" w:leftChars="100"/>
      <w:rPr>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1C65CB">
                          <w:pPr>
                            <w:pStyle w:val="6"/>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- 1 -</w:t>
                          </w:r>
                          <w:r>
                            <w:rPr>
                              <w:rFonts w:ascii="Times New Roman" w:hAnsi="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411C65CB">
                    <w:pPr>
                      <w:pStyle w:val="6"/>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- 1 -</w:t>
                    </w:r>
                    <w:r>
                      <w:rPr>
                        <w:rFonts w:ascii="Times New Roman" w:hAnsi="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8DFCC">
    <w:pPr>
      <w:pStyle w:val="6"/>
    </w:pPr>
    <w: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-86995</wp:posOffset>
              </wp:positionV>
              <wp:extent cx="534035" cy="2266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34035" cy="226695"/>
                      </a:xfrm>
                      <a:prstGeom prst="rect">
                        <a:avLst/>
                      </a:prstGeom>
                      <a:noFill/>
                      <a:ln>
                        <a:noFill/>
                      </a:ln>
                    </wps:spPr>
                    <wps:txbx>
                      <w:txbxContent>
                        <w:p w14:paraId="183BEEA0">
                          <w:pPr>
                            <w:pStyle w:val="6"/>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left:0pt;margin-top:-6.85pt;height:17.85pt;width:42.05pt;mso-position-horizontal-relative:margin;z-index:251659264;mso-width-relative:page;mso-height-relative:page;" filled="f" stroked="f" coordsize="21600,21600" o:gfxdata="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gC3z1gAAAAYBAAAPAAAAAAAAAAEAIAAAACIAAABkcnMvZG93bnJldi54bWxQSwECFAAUAAAACACH&#10;TuJAULkHfrQBAABlAwAADgAAAAAAAAABACAAAAAlAQAAZHJzL2Uyb0RvYy54bWxQSwUGAAAAAAYA&#10;BgBZAQAASwUAAAAA&#10;">
              <v:fill on="f" focussize="0,0"/>
              <v:stroke on="f"/>
              <v:imagedata o:title=""/>
              <o:lock v:ext="edit" aspectratio="f"/>
              <v:textbox inset="0mm,0mm,0mm,0mm">
                <w:txbxContent>
                  <w:p w14:paraId="183BEEA0">
                    <w:pPr>
                      <w:pStyle w:val="6"/>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31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32882"/>
    <w:rsid w:val="00124087"/>
    <w:rsid w:val="00190EFD"/>
    <w:rsid w:val="00366193"/>
    <w:rsid w:val="00372B26"/>
    <w:rsid w:val="00392A9F"/>
    <w:rsid w:val="005420F9"/>
    <w:rsid w:val="005677D2"/>
    <w:rsid w:val="00624707"/>
    <w:rsid w:val="00642AA9"/>
    <w:rsid w:val="007E649D"/>
    <w:rsid w:val="00806C72"/>
    <w:rsid w:val="008C3808"/>
    <w:rsid w:val="008D334B"/>
    <w:rsid w:val="00921308"/>
    <w:rsid w:val="00AB78A5"/>
    <w:rsid w:val="00B0330B"/>
    <w:rsid w:val="00B55DFC"/>
    <w:rsid w:val="00BA763B"/>
    <w:rsid w:val="00BD4816"/>
    <w:rsid w:val="00BF0CA9"/>
    <w:rsid w:val="00D2780F"/>
    <w:rsid w:val="00D90846"/>
    <w:rsid w:val="00DA3797"/>
    <w:rsid w:val="02232882"/>
    <w:rsid w:val="04CC49CF"/>
    <w:rsid w:val="050C42D8"/>
    <w:rsid w:val="06A663E0"/>
    <w:rsid w:val="08E32B0E"/>
    <w:rsid w:val="0A192C4E"/>
    <w:rsid w:val="0C671243"/>
    <w:rsid w:val="0D4D3563"/>
    <w:rsid w:val="0FC6626C"/>
    <w:rsid w:val="100A1D8D"/>
    <w:rsid w:val="1233351E"/>
    <w:rsid w:val="123E0E55"/>
    <w:rsid w:val="12504C0F"/>
    <w:rsid w:val="12972790"/>
    <w:rsid w:val="13E4681B"/>
    <w:rsid w:val="16FB6BF7"/>
    <w:rsid w:val="17577BA6"/>
    <w:rsid w:val="178245BE"/>
    <w:rsid w:val="18095CD7"/>
    <w:rsid w:val="18397627"/>
    <w:rsid w:val="18F93244"/>
    <w:rsid w:val="1A833996"/>
    <w:rsid w:val="1B3A5577"/>
    <w:rsid w:val="1BD4432C"/>
    <w:rsid w:val="1BDC598F"/>
    <w:rsid w:val="1C9C63DE"/>
    <w:rsid w:val="1DDA4289"/>
    <w:rsid w:val="21605BD2"/>
    <w:rsid w:val="221357EB"/>
    <w:rsid w:val="23E15C57"/>
    <w:rsid w:val="245D667A"/>
    <w:rsid w:val="24F609FE"/>
    <w:rsid w:val="254A5A35"/>
    <w:rsid w:val="28A96FDA"/>
    <w:rsid w:val="28AF4EF6"/>
    <w:rsid w:val="2A62662F"/>
    <w:rsid w:val="2B624461"/>
    <w:rsid w:val="2C493FB6"/>
    <w:rsid w:val="2CD54FD8"/>
    <w:rsid w:val="2D300A31"/>
    <w:rsid w:val="34A96DC9"/>
    <w:rsid w:val="35B84386"/>
    <w:rsid w:val="368F2692"/>
    <w:rsid w:val="36C66D6E"/>
    <w:rsid w:val="387B14EE"/>
    <w:rsid w:val="3A281202"/>
    <w:rsid w:val="3AC42054"/>
    <w:rsid w:val="3B197282"/>
    <w:rsid w:val="3CFE54AA"/>
    <w:rsid w:val="3E1C120F"/>
    <w:rsid w:val="3F257F35"/>
    <w:rsid w:val="41106E5E"/>
    <w:rsid w:val="427E572D"/>
    <w:rsid w:val="433D3ED5"/>
    <w:rsid w:val="43612BDF"/>
    <w:rsid w:val="438276D2"/>
    <w:rsid w:val="4601031A"/>
    <w:rsid w:val="461F761C"/>
    <w:rsid w:val="47155BE8"/>
    <w:rsid w:val="49AE0D22"/>
    <w:rsid w:val="4A0608CE"/>
    <w:rsid w:val="4AC93163"/>
    <w:rsid w:val="4C5C2D9A"/>
    <w:rsid w:val="4CB571EA"/>
    <w:rsid w:val="4CFA66EB"/>
    <w:rsid w:val="4D2A71A9"/>
    <w:rsid w:val="4D573E80"/>
    <w:rsid w:val="4D66731F"/>
    <w:rsid w:val="4E1506EE"/>
    <w:rsid w:val="4E774B02"/>
    <w:rsid w:val="4E7938B9"/>
    <w:rsid w:val="4F042A30"/>
    <w:rsid w:val="4F0E5EC8"/>
    <w:rsid w:val="4F3358E4"/>
    <w:rsid w:val="4F3E1529"/>
    <w:rsid w:val="4F557C23"/>
    <w:rsid w:val="4FB44E0A"/>
    <w:rsid w:val="5165349A"/>
    <w:rsid w:val="52095776"/>
    <w:rsid w:val="53C40323"/>
    <w:rsid w:val="53DF7391"/>
    <w:rsid w:val="54685493"/>
    <w:rsid w:val="55145A25"/>
    <w:rsid w:val="56237DE0"/>
    <w:rsid w:val="566278C5"/>
    <w:rsid w:val="567B42C8"/>
    <w:rsid w:val="5B843924"/>
    <w:rsid w:val="5C77118D"/>
    <w:rsid w:val="5E006E0E"/>
    <w:rsid w:val="62C8405E"/>
    <w:rsid w:val="67215B83"/>
    <w:rsid w:val="674D1593"/>
    <w:rsid w:val="6ADF5837"/>
    <w:rsid w:val="6AEE6320"/>
    <w:rsid w:val="6B157DBF"/>
    <w:rsid w:val="6B8922FC"/>
    <w:rsid w:val="6CE2662C"/>
    <w:rsid w:val="6EA9571C"/>
    <w:rsid w:val="73B62AAD"/>
    <w:rsid w:val="748F3650"/>
    <w:rsid w:val="753D37F0"/>
    <w:rsid w:val="77B64F13"/>
    <w:rsid w:val="77F03ED5"/>
    <w:rsid w:val="783F2138"/>
    <w:rsid w:val="788824D8"/>
    <w:rsid w:val="7A4C6B8E"/>
    <w:rsid w:val="7C294F95"/>
    <w:rsid w:val="7C6D24C9"/>
    <w:rsid w:val="7CB35D7F"/>
    <w:rsid w:val="7CF6202D"/>
    <w:rsid w:val="7DD96D67"/>
    <w:rsid w:val="7F171895"/>
    <w:rsid w:val="7F363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spacing w:line="360" w:lineRule="auto"/>
      <w:ind w:firstLine="420"/>
      <w:jc w:val="left"/>
    </w:pPr>
  </w:style>
  <w:style w:type="paragraph" w:styleId="3">
    <w:name w:val="annotation text"/>
    <w:basedOn w:val="1"/>
    <w:qFormat/>
    <w:uiPriority w:val="0"/>
    <w:pPr>
      <w:jc w:val="left"/>
    </w:pPr>
  </w:style>
  <w:style w:type="paragraph" w:styleId="4">
    <w:name w:val="Body Text"/>
    <w:basedOn w:val="1"/>
    <w:qFormat/>
    <w:uiPriority w:val="0"/>
  </w:style>
  <w:style w:type="paragraph" w:styleId="5">
    <w:name w:val="Body Text Indent"/>
    <w:basedOn w:val="1"/>
    <w:qFormat/>
    <w:uiPriority w:val="0"/>
    <w:pPr>
      <w:snapToGrid w:val="0"/>
      <w:spacing w:line="360" w:lineRule="auto"/>
      <w:ind w:firstLine="210" w:firstLineChars="75"/>
    </w:pPr>
    <w:rPr>
      <w:rFonts w:ascii="仿宋_GB2312" w:eastAsia="仿宋_GB2312"/>
      <w:sz w:val="2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Strong"/>
    <w:basedOn w:val="9"/>
    <w:qFormat/>
    <w:uiPriority w:val="0"/>
    <w:rPr>
      <w:b/>
    </w:rPr>
  </w:style>
  <w:style w:type="character" w:styleId="11">
    <w:name w:val="Emphasis"/>
    <w:basedOn w:val="9"/>
    <w:qFormat/>
    <w:uiPriority w:val="0"/>
    <w:rPr>
      <w:i/>
    </w:rPr>
  </w:style>
  <w:style w:type="character" w:styleId="12">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4870</Words>
  <Characters>5086</Characters>
  <Lines>216</Lines>
  <Paragraphs>210</Paragraphs>
  <TotalTime>2</TotalTime>
  <ScaleCrop>false</ScaleCrop>
  <LinksUpToDate>false</LinksUpToDate>
  <CharactersWithSpaces>5230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2025-08-26T03:21:00Z</dcterms:created>
  <dc:creator>睿仔</dc:creator>
  <cp:lastModifiedBy>0</cp:lastModifiedBy>
  <cp:lastPrinted>2025-08-26T03:50:48Z</cp:lastPrinted>
  <dcterms:modified xsi:type="dcterms:W3CDTF">2025-08-26T03:53:19Z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788C2B6F65FF406EB5410AC15B884CF6_13</vt:lpwstr>
  </property>
  <property fmtid="{D5CDD505-2E9C-101B-9397-08002B2CF9AE}" pid="4" name="KSOTemplateDocerSaveRecord">
    <vt:lpwstr>eyJoZGlkIjoiZGFlZDdhMTcwMmUzOGZjNjExZGY0MTY4YTg4YWI3MTciLCJ1c2VySWQiOiI1NDQ1MjcxNTYifQ==</vt:lpwstr>
  </property>
</Properties>
</file>